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108" w:tblpY="-495"/>
        <w:tblW w:w="9214" w:type="dxa"/>
        <w:tblLayout w:type="fixed"/>
        <w:tblLook w:val="04A0" w:firstRow="1" w:lastRow="0" w:firstColumn="1" w:lastColumn="0" w:noHBand="0" w:noVBand="1"/>
      </w:tblPr>
      <w:tblGrid>
        <w:gridCol w:w="3256"/>
        <w:gridCol w:w="1989"/>
        <w:gridCol w:w="1843"/>
        <w:gridCol w:w="2126"/>
      </w:tblGrid>
      <w:tr w:rsidR="009C4647" w:rsidRPr="002B630A" w:rsidTr="00CA08E7">
        <w:tc>
          <w:tcPr>
            <w:tcW w:w="9214" w:type="dxa"/>
            <w:gridSpan w:val="4"/>
          </w:tcPr>
          <w:p w:rsidR="0066742C" w:rsidRPr="0043419C" w:rsidRDefault="009C4647" w:rsidP="00CA08E7">
            <w:pPr>
              <w:rPr>
                <w:b/>
                <w:sz w:val="20"/>
                <w:szCs w:val="20"/>
              </w:rPr>
            </w:pPr>
            <w:r w:rsidRPr="002B630A">
              <w:rPr>
                <w:b/>
                <w:sz w:val="20"/>
                <w:szCs w:val="20"/>
              </w:rPr>
              <w:t>Continuing Non</w:t>
            </w:r>
            <w:r w:rsidR="00F15B60">
              <w:rPr>
                <w:b/>
                <w:sz w:val="20"/>
                <w:szCs w:val="20"/>
              </w:rPr>
              <w:t>-S</w:t>
            </w:r>
            <w:r w:rsidRPr="002B630A">
              <w:rPr>
                <w:b/>
                <w:sz w:val="20"/>
                <w:szCs w:val="20"/>
              </w:rPr>
              <w:t>tatutory Service  (Proposed Base Budget Reduction Targets)</w:t>
            </w:r>
            <w:r w:rsidR="00B819B1">
              <w:rPr>
                <w:b/>
                <w:sz w:val="20"/>
                <w:szCs w:val="20"/>
              </w:rPr>
              <w:t xml:space="preserve"> – Template 3</w:t>
            </w:r>
          </w:p>
          <w:p w:rsidR="00692BB1" w:rsidRPr="009356B6" w:rsidRDefault="009356B6" w:rsidP="00CA08E7">
            <w:pPr>
              <w:rPr>
                <w:b/>
                <w:sz w:val="20"/>
                <w:szCs w:val="20"/>
              </w:rPr>
            </w:pPr>
            <w:r w:rsidRPr="009356B6">
              <w:rPr>
                <w:b/>
                <w:sz w:val="20"/>
                <w:szCs w:val="20"/>
              </w:rPr>
              <w:t>BOP 046</w:t>
            </w:r>
          </w:p>
        </w:tc>
      </w:tr>
      <w:tr w:rsidR="009C4647" w:rsidRPr="002B630A" w:rsidTr="00CA08E7">
        <w:tc>
          <w:tcPr>
            <w:tcW w:w="3256" w:type="dxa"/>
            <w:tcBorders>
              <w:bottom w:val="single" w:sz="4" w:space="0" w:color="auto"/>
            </w:tcBorders>
          </w:tcPr>
          <w:p w:rsidR="009C4647" w:rsidRDefault="009C4647" w:rsidP="00CA08E7">
            <w:pPr>
              <w:rPr>
                <w:sz w:val="20"/>
                <w:szCs w:val="20"/>
              </w:rPr>
            </w:pPr>
            <w:r w:rsidRPr="002B630A">
              <w:rPr>
                <w:sz w:val="20"/>
                <w:szCs w:val="20"/>
              </w:rPr>
              <w:t>Service name</w:t>
            </w:r>
          </w:p>
          <w:p w:rsidR="00CC58B3" w:rsidRDefault="0004540A" w:rsidP="00CA08E7">
            <w:pPr>
              <w:rPr>
                <w:rFonts w:ascii="Calibri" w:hAnsi="Calibri"/>
                <w:color w:val="000000"/>
              </w:rPr>
            </w:pPr>
            <w:r>
              <w:rPr>
                <w:rFonts w:ascii="Calibri" w:hAnsi="Calibri"/>
                <w:color w:val="000000"/>
              </w:rPr>
              <w:t>WASTE PFI</w:t>
            </w:r>
          </w:p>
          <w:p w:rsidR="00D64925" w:rsidRPr="00F0051D" w:rsidRDefault="00CC58B3" w:rsidP="00CA08E7">
            <w:pPr>
              <w:rPr>
                <w:rFonts w:ascii="Calibri" w:hAnsi="Calibri"/>
                <w:color w:val="000000"/>
              </w:rPr>
            </w:pPr>
            <w:r>
              <w:rPr>
                <w:rFonts w:ascii="Calibri" w:hAnsi="Calibri"/>
                <w:color w:val="000000"/>
              </w:rPr>
              <w:t xml:space="preserve">BBR </w:t>
            </w:r>
            <w:r w:rsidR="00DD2E9F">
              <w:rPr>
                <w:rFonts w:ascii="Calibri" w:hAnsi="Calibri"/>
                <w:color w:val="000000"/>
              </w:rPr>
              <w:t>083</w:t>
            </w:r>
          </w:p>
        </w:tc>
        <w:tc>
          <w:tcPr>
            <w:tcW w:w="5958" w:type="dxa"/>
            <w:gridSpan w:val="3"/>
            <w:tcBorders>
              <w:bottom w:val="single" w:sz="4" w:space="0" w:color="auto"/>
            </w:tcBorders>
          </w:tcPr>
          <w:p w:rsidR="009C4647" w:rsidRPr="002B630A" w:rsidRDefault="00F0051D" w:rsidP="000B466C">
            <w:pPr>
              <w:rPr>
                <w:sz w:val="20"/>
                <w:szCs w:val="20"/>
              </w:rPr>
            </w:pPr>
            <w:r>
              <w:rPr>
                <w:rFonts w:cs="Arial"/>
                <w:color w:val="000000" w:themeColor="text1"/>
                <w:sz w:val="20"/>
                <w:szCs w:val="20"/>
              </w:rPr>
              <w:t xml:space="preserve">Service Description – please see </w:t>
            </w:r>
            <w:r w:rsidR="000B466C">
              <w:rPr>
                <w:rFonts w:cs="Arial"/>
                <w:color w:val="000000" w:themeColor="text1"/>
                <w:sz w:val="20"/>
                <w:szCs w:val="20"/>
              </w:rPr>
              <w:t>over</w:t>
            </w:r>
            <w:r w:rsidR="00B25405" w:rsidRPr="00F0051D">
              <w:rPr>
                <w:sz w:val="20"/>
                <w:szCs w:val="20"/>
              </w:rPr>
              <w:br/>
            </w:r>
          </w:p>
        </w:tc>
      </w:tr>
      <w:tr w:rsidR="009C4647" w:rsidRPr="002B630A" w:rsidTr="00CA08E7">
        <w:tc>
          <w:tcPr>
            <w:tcW w:w="3256" w:type="dxa"/>
            <w:tcBorders>
              <w:bottom w:val="nil"/>
            </w:tcBorders>
          </w:tcPr>
          <w:p w:rsidR="009C4647" w:rsidRPr="002B630A" w:rsidRDefault="009C4647" w:rsidP="00CA08E7">
            <w:pPr>
              <w:rPr>
                <w:sz w:val="20"/>
                <w:szCs w:val="20"/>
              </w:rPr>
            </w:pPr>
          </w:p>
        </w:tc>
        <w:tc>
          <w:tcPr>
            <w:tcW w:w="1989" w:type="dxa"/>
            <w:tcBorders>
              <w:bottom w:val="nil"/>
            </w:tcBorders>
          </w:tcPr>
          <w:p w:rsidR="009C4647" w:rsidRPr="00084304" w:rsidRDefault="009C4647" w:rsidP="00CA08E7">
            <w:pPr>
              <w:jc w:val="center"/>
              <w:rPr>
                <w:b/>
                <w:sz w:val="20"/>
                <w:szCs w:val="20"/>
              </w:rPr>
            </w:pPr>
            <w:r w:rsidRPr="00084304">
              <w:rPr>
                <w:b/>
                <w:sz w:val="20"/>
                <w:szCs w:val="20"/>
              </w:rPr>
              <w:t>2015/16</w:t>
            </w:r>
          </w:p>
        </w:tc>
        <w:tc>
          <w:tcPr>
            <w:tcW w:w="1843" w:type="dxa"/>
            <w:tcBorders>
              <w:bottom w:val="nil"/>
            </w:tcBorders>
          </w:tcPr>
          <w:p w:rsidR="009C4647" w:rsidRPr="00084304" w:rsidRDefault="009C4647" w:rsidP="00CA08E7">
            <w:pPr>
              <w:jc w:val="center"/>
              <w:rPr>
                <w:b/>
                <w:sz w:val="20"/>
                <w:szCs w:val="20"/>
              </w:rPr>
            </w:pPr>
            <w:r w:rsidRPr="00084304">
              <w:rPr>
                <w:b/>
                <w:sz w:val="20"/>
                <w:szCs w:val="20"/>
              </w:rPr>
              <w:t>2016/17</w:t>
            </w:r>
          </w:p>
        </w:tc>
        <w:tc>
          <w:tcPr>
            <w:tcW w:w="2126" w:type="dxa"/>
            <w:tcBorders>
              <w:bottom w:val="nil"/>
            </w:tcBorders>
          </w:tcPr>
          <w:p w:rsidR="009C4647" w:rsidRPr="00084304" w:rsidRDefault="009C4647" w:rsidP="00CA08E7">
            <w:pPr>
              <w:jc w:val="center"/>
              <w:rPr>
                <w:b/>
                <w:sz w:val="20"/>
                <w:szCs w:val="20"/>
              </w:rPr>
            </w:pPr>
            <w:r w:rsidRPr="00084304">
              <w:rPr>
                <w:b/>
                <w:sz w:val="20"/>
                <w:szCs w:val="20"/>
              </w:rPr>
              <w:t>2017/18</w:t>
            </w:r>
          </w:p>
        </w:tc>
      </w:tr>
      <w:tr w:rsidR="008252EB" w:rsidRPr="002B630A" w:rsidTr="00CA08E7">
        <w:tc>
          <w:tcPr>
            <w:tcW w:w="3256" w:type="dxa"/>
            <w:tcBorders>
              <w:top w:val="nil"/>
              <w:bottom w:val="single" w:sz="4" w:space="0" w:color="auto"/>
            </w:tcBorders>
          </w:tcPr>
          <w:p w:rsidR="008252EB" w:rsidRPr="002B630A" w:rsidRDefault="008252EB" w:rsidP="00CA08E7">
            <w:pPr>
              <w:rPr>
                <w:sz w:val="20"/>
                <w:szCs w:val="20"/>
              </w:rPr>
            </w:pPr>
          </w:p>
        </w:tc>
        <w:tc>
          <w:tcPr>
            <w:tcW w:w="1989" w:type="dxa"/>
            <w:tcBorders>
              <w:top w:val="nil"/>
              <w:bottom w:val="single" w:sz="4" w:space="0" w:color="auto"/>
            </w:tcBorders>
          </w:tcPr>
          <w:p w:rsidR="008252EB" w:rsidRPr="00084304" w:rsidRDefault="008252EB" w:rsidP="00CA08E7">
            <w:pPr>
              <w:jc w:val="center"/>
              <w:rPr>
                <w:b/>
                <w:sz w:val="20"/>
                <w:szCs w:val="20"/>
              </w:rPr>
            </w:pPr>
            <w:r>
              <w:rPr>
                <w:b/>
                <w:sz w:val="20"/>
                <w:szCs w:val="20"/>
              </w:rPr>
              <w:t>£m</w:t>
            </w:r>
          </w:p>
        </w:tc>
        <w:tc>
          <w:tcPr>
            <w:tcW w:w="1843" w:type="dxa"/>
            <w:tcBorders>
              <w:top w:val="nil"/>
              <w:bottom w:val="single" w:sz="4" w:space="0" w:color="auto"/>
            </w:tcBorders>
          </w:tcPr>
          <w:p w:rsidR="008252EB" w:rsidRPr="00084304" w:rsidRDefault="008252EB" w:rsidP="00CA08E7">
            <w:pPr>
              <w:jc w:val="center"/>
              <w:rPr>
                <w:b/>
                <w:sz w:val="20"/>
                <w:szCs w:val="20"/>
              </w:rPr>
            </w:pPr>
            <w:r>
              <w:rPr>
                <w:b/>
                <w:sz w:val="20"/>
                <w:szCs w:val="20"/>
              </w:rPr>
              <w:t>£m</w:t>
            </w:r>
          </w:p>
        </w:tc>
        <w:tc>
          <w:tcPr>
            <w:tcW w:w="2126" w:type="dxa"/>
            <w:tcBorders>
              <w:top w:val="nil"/>
              <w:bottom w:val="single" w:sz="4" w:space="0" w:color="auto"/>
            </w:tcBorders>
          </w:tcPr>
          <w:p w:rsidR="008252EB" w:rsidRPr="00084304" w:rsidRDefault="008252EB" w:rsidP="00CA08E7">
            <w:pPr>
              <w:jc w:val="center"/>
              <w:rPr>
                <w:b/>
                <w:sz w:val="20"/>
                <w:szCs w:val="20"/>
              </w:rPr>
            </w:pPr>
            <w:r>
              <w:rPr>
                <w:b/>
                <w:sz w:val="20"/>
                <w:szCs w:val="20"/>
              </w:rPr>
              <w:t>£m</w:t>
            </w:r>
          </w:p>
        </w:tc>
      </w:tr>
      <w:tr w:rsidR="009A63F6" w:rsidRPr="002B630A" w:rsidTr="00CA08E7">
        <w:tc>
          <w:tcPr>
            <w:tcW w:w="3256" w:type="dxa"/>
            <w:tcBorders>
              <w:top w:val="nil"/>
              <w:bottom w:val="single" w:sz="4" w:space="0" w:color="auto"/>
            </w:tcBorders>
          </w:tcPr>
          <w:p w:rsidR="009A63F6" w:rsidRPr="004D588F" w:rsidRDefault="009A63F6" w:rsidP="009A63F6">
            <w:pPr>
              <w:rPr>
                <w:sz w:val="20"/>
                <w:szCs w:val="20"/>
              </w:rPr>
            </w:pPr>
            <w:r>
              <w:rPr>
                <w:sz w:val="20"/>
                <w:szCs w:val="20"/>
              </w:rPr>
              <w:t>Forecast before savings</w:t>
            </w:r>
          </w:p>
        </w:tc>
        <w:tc>
          <w:tcPr>
            <w:tcW w:w="1989" w:type="dxa"/>
            <w:tcBorders>
              <w:top w:val="nil"/>
              <w:bottom w:val="single" w:sz="4" w:space="0" w:color="auto"/>
            </w:tcBorders>
          </w:tcPr>
          <w:p w:rsidR="009A63F6" w:rsidRPr="00877382" w:rsidRDefault="009A63F6" w:rsidP="009A63F6">
            <w:pPr>
              <w:jc w:val="right"/>
              <w:rPr>
                <w:sz w:val="20"/>
                <w:szCs w:val="20"/>
              </w:rPr>
            </w:pPr>
            <w:r w:rsidRPr="00FB7ABB">
              <w:rPr>
                <w:noProof/>
                <w:sz w:val="20"/>
                <w:szCs w:val="20"/>
              </w:rPr>
              <w:t>41.609</w:t>
            </w:r>
          </w:p>
        </w:tc>
        <w:tc>
          <w:tcPr>
            <w:tcW w:w="1843" w:type="dxa"/>
            <w:tcBorders>
              <w:top w:val="nil"/>
              <w:bottom w:val="single" w:sz="4" w:space="0" w:color="auto"/>
            </w:tcBorders>
          </w:tcPr>
          <w:p w:rsidR="009A63F6" w:rsidRPr="00877382" w:rsidRDefault="009A63F6" w:rsidP="009A63F6">
            <w:pPr>
              <w:jc w:val="right"/>
              <w:rPr>
                <w:sz w:val="20"/>
                <w:szCs w:val="20"/>
              </w:rPr>
            </w:pPr>
            <w:r w:rsidRPr="00FB7ABB">
              <w:rPr>
                <w:noProof/>
                <w:sz w:val="20"/>
                <w:szCs w:val="20"/>
              </w:rPr>
              <w:t>42.791</w:t>
            </w:r>
          </w:p>
        </w:tc>
        <w:tc>
          <w:tcPr>
            <w:tcW w:w="2126" w:type="dxa"/>
            <w:tcBorders>
              <w:top w:val="nil"/>
              <w:bottom w:val="single" w:sz="4" w:space="0" w:color="auto"/>
            </w:tcBorders>
          </w:tcPr>
          <w:p w:rsidR="009A63F6" w:rsidRPr="00877382" w:rsidRDefault="009A63F6" w:rsidP="009A63F6">
            <w:pPr>
              <w:jc w:val="right"/>
              <w:rPr>
                <w:sz w:val="20"/>
                <w:szCs w:val="20"/>
              </w:rPr>
            </w:pPr>
            <w:r w:rsidRPr="00FB7ABB">
              <w:rPr>
                <w:noProof/>
                <w:sz w:val="20"/>
                <w:szCs w:val="20"/>
              </w:rPr>
              <w:t>45.501</w:t>
            </w:r>
          </w:p>
        </w:tc>
      </w:tr>
      <w:tr w:rsidR="009A63F6" w:rsidRPr="002B630A" w:rsidTr="00CA08E7">
        <w:tc>
          <w:tcPr>
            <w:tcW w:w="3256" w:type="dxa"/>
            <w:tcBorders>
              <w:top w:val="nil"/>
              <w:bottom w:val="single" w:sz="4" w:space="0" w:color="auto"/>
            </w:tcBorders>
          </w:tcPr>
          <w:p w:rsidR="009A63F6" w:rsidRDefault="009A63F6" w:rsidP="009A63F6">
            <w:pPr>
              <w:rPr>
                <w:sz w:val="20"/>
                <w:szCs w:val="20"/>
              </w:rPr>
            </w:pPr>
            <w:r>
              <w:rPr>
                <w:sz w:val="20"/>
                <w:szCs w:val="20"/>
              </w:rPr>
              <w:t>Budgeted savings (cumulative)</w:t>
            </w:r>
          </w:p>
        </w:tc>
        <w:tc>
          <w:tcPr>
            <w:tcW w:w="1989" w:type="dxa"/>
            <w:tcBorders>
              <w:top w:val="nil"/>
              <w:bottom w:val="single" w:sz="4" w:space="0" w:color="auto"/>
            </w:tcBorders>
          </w:tcPr>
          <w:p w:rsidR="009A63F6" w:rsidRPr="00877382" w:rsidRDefault="009A63F6" w:rsidP="009A63F6">
            <w:pPr>
              <w:jc w:val="right"/>
              <w:rPr>
                <w:sz w:val="20"/>
                <w:szCs w:val="20"/>
              </w:rPr>
            </w:pPr>
            <w:r w:rsidRPr="00FB7ABB">
              <w:rPr>
                <w:noProof/>
                <w:sz w:val="20"/>
                <w:szCs w:val="20"/>
              </w:rPr>
              <w:t>-18.018</w:t>
            </w:r>
          </w:p>
        </w:tc>
        <w:tc>
          <w:tcPr>
            <w:tcW w:w="1843" w:type="dxa"/>
            <w:tcBorders>
              <w:top w:val="nil"/>
              <w:bottom w:val="single" w:sz="4" w:space="0" w:color="auto"/>
            </w:tcBorders>
          </w:tcPr>
          <w:p w:rsidR="009A63F6" w:rsidRPr="00877382" w:rsidRDefault="009A63F6" w:rsidP="009A63F6">
            <w:pPr>
              <w:jc w:val="right"/>
              <w:rPr>
                <w:sz w:val="20"/>
                <w:szCs w:val="20"/>
              </w:rPr>
            </w:pPr>
            <w:r w:rsidRPr="00FB7ABB">
              <w:rPr>
                <w:noProof/>
                <w:sz w:val="20"/>
                <w:szCs w:val="20"/>
              </w:rPr>
              <w:t>-18.018</w:t>
            </w:r>
          </w:p>
        </w:tc>
        <w:tc>
          <w:tcPr>
            <w:tcW w:w="2126" w:type="dxa"/>
            <w:tcBorders>
              <w:top w:val="nil"/>
              <w:bottom w:val="single" w:sz="4" w:space="0" w:color="auto"/>
            </w:tcBorders>
          </w:tcPr>
          <w:p w:rsidR="009A63F6" w:rsidRPr="00877382" w:rsidRDefault="009A63F6" w:rsidP="009A63F6">
            <w:pPr>
              <w:jc w:val="right"/>
              <w:rPr>
                <w:sz w:val="20"/>
                <w:szCs w:val="20"/>
              </w:rPr>
            </w:pPr>
            <w:r w:rsidRPr="00FB7ABB">
              <w:rPr>
                <w:noProof/>
                <w:sz w:val="20"/>
                <w:szCs w:val="20"/>
              </w:rPr>
              <w:t>-18.018</w:t>
            </w:r>
          </w:p>
        </w:tc>
      </w:tr>
      <w:tr w:rsidR="009A63F6" w:rsidRPr="002B630A" w:rsidTr="00CA08E7">
        <w:tc>
          <w:tcPr>
            <w:tcW w:w="3256" w:type="dxa"/>
            <w:shd w:val="clear" w:color="auto" w:fill="auto"/>
          </w:tcPr>
          <w:p w:rsidR="009A63F6" w:rsidRDefault="009A63F6" w:rsidP="009A63F6">
            <w:pPr>
              <w:rPr>
                <w:sz w:val="20"/>
                <w:szCs w:val="20"/>
              </w:rPr>
            </w:pPr>
            <w:r>
              <w:rPr>
                <w:sz w:val="20"/>
                <w:szCs w:val="20"/>
              </w:rPr>
              <w:t>Planned net expenditure</w:t>
            </w:r>
            <w:r w:rsidRPr="004D588F">
              <w:rPr>
                <w:sz w:val="20"/>
                <w:szCs w:val="20"/>
              </w:rPr>
              <w:t xml:space="preserve"> </w:t>
            </w:r>
          </w:p>
          <w:p w:rsidR="009A63F6" w:rsidRDefault="009A63F6" w:rsidP="009A63F6">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989" w:type="dxa"/>
            <w:shd w:val="clear" w:color="auto" w:fill="auto"/>
          </w:tcPr>
          <w:p w:rsidR="009A63F6" w:rsidRPr="00877382" w:rsidRDefault="009A63F6" w:rsidP="009A63F6">
            <w:pPr>
              <w:jc w:val="right"/>
              <w:rPr>
                <w:sz w:val="20"/>
                <w:szCs w:val="20"/>
              </w:rPr>
            </w:pPr>
            <w:r w:rsidRPr="00FB7ABB">
              <w:rPr>
                <w:noProof/>
                <w:sz w:val="20"/>
                <w:szCs w:val="20"/>
              </w:rPr>
              <w:t>23.591</w:t>
            </w:r>
          </w:p>
        </w:tc>
        <w:tc>
          <w:tcPr>
            <w:tcW w:w="1843" w:type="dxa"/>
            <w:shd w:val="clear" w:color="auto" w:fill="auto"/>
          </w:tcPr>
          <w:p w:rsidR="009A63F6" w:rsidRPr="00877382" w:rsidRDefault="009A63F6" w:rsidP="009A63F6">
            <w:pPr>
              <w:jc w:val="right"/>
              <w:rPr>
                <w:sz w:val="20"/>
                <w:szCs w:val="20"/>
              </w:rPr>
            </w:pPr>
            <w:r w:rsidRPr="00FB7ABB">
              <w:rPr>
                <w:noProof/>
                <w:sz w:val="20"/>
                <w:szCs w:val="20"/>
              </w:rPr>
              <w:t>24.773</w:t>
            </w:r>
          </w:p>
        </w:tc>
        <w:tc>
          <w:tcPr>
            <w:tcW w:w="2126" w:type="dxa"/>
            <w:shd w:val="clear" w:color="auto" w:fill="auto"/>
          </w:tcPr>
          <w:p w:rsidR="009A63F6" w:rsidRPr="00877382" w:rsidRDefault="009A63F6" w:rsidP="009A63F6">
            <w:pPr>
              <w:jc w:val="right"/>
              <w:rPr>
                <w:sz w:val="20"/>
                <w:szCs w:val="20"/>
              </w:rPr>
            </w:pPr>
            <w:r w:rsidRPr="00FB7ABB">
              <w:rPr>
                <w:noProof/>
                <w:sz w:val="20"/>
                <w:szCs w:val="20"/>
              </w:rPr>
              <w:t>27.483</w:t>
            </w:r>
          </w:p>
        </w:tc>
      </w:tr>
      <w:tr w:rsidR="009A63F6" w:rsidRPr="002B630A" w:rsidTr="00CA08E7">
        <w:tc>
          <w:tcPr>
            <w:tcW w:w="3256" w:type="dxa"/>
            <w:shd w:val="clear" w:color="auto" w:fill="D9D9D9" w:themeFill="background1" w:themeFillShade="D9"/>
          </w:tcPr>
          <w:p w:rsidR="009A63F6" w:rsidRDefault="009A63F6" w:rsidP="009A63F6">
            <w:pPr>
              <w:rPr>
                <w:sz w:val="20"/>
                <w:szCs w:val="20"/>
              </w:rPr>
            </w:pPr>
          </w:p>
        </w:tc>
        <w:tc>
          <w:tcPr>
            <w:tcW w:w="1989" w:type="dxa"/>
            <w:shd w:val="clear" w:color="auto" w:fill="D9D9D9" w:themeFill="background1" w:themeFillShade="D9"/>
          </w:tcPr>
          <w:p w:rsidR="009A63F6" w:rsidRPr="002B630A" w:rsidRDefault="009A63F6" w:rsidP="009A63F6">
            <w:pPr>
              <w:jc w:val="right"/>
              <w:rPr>
                <w:sz w:val="20"/>
                <w:szCs w:val="20"/>
              </w:rPr>
            </w:pPr>
          </w:p>
        </w:tc>
        <w:tc>
          <w:tcPr>
            <w:tcW w:w="1843" w:type="dxa"/>
            <w:shd w:val="clear" w:color="auto" w:fill="D9D9D9" w:themeFill="background1" w:themeFillShade="D9"/>
          </w:tcPr>
          <w:p w:rsidR="009A63F6" w:rsidRPr="002B630A" w:rsidRDefault="009A63F6" w:rsidP="009A63F6">
            <w:pPr>
              <w:jc w:val="right"/>
              <w:rPr>
                <w:sz w:val="20"/>
                <w:szCs w:val="20"/>
              </w:rPr>
            </w:pPr>
          </w:p>
        </w:tc>
        <w:tc>
          <w:tcPr>
            <w:tcW w:w="2126" w:type="dxa"/>
            <w:shd w:val="clear" w:color="auto" w:fill="D9D9D9" w:themeFill="background1" w:themeFillShade="D9"/>
          </w:tcPr>
          <w:p w:rsidR="009A63F6" w:rsidRPr="002B630A" w:rsidRDefault="009A63F6" w:rsidP="009A63F6">
            <w:pPr>
              <w:jc w:val="right"/>
              <w:rPr>
                <w:sz w:val="20"/>
                <w:szCs w:val="20"/>
              </w:rPr>
            </w:pPr>
          </w:p>
        </w:tc>
      </w:tr>
      <w:tr w:rsidR="009A63F6" w:rsidRPr="002B630A" w:rsidTr="008F3EEC">
        <w:tc>
          <w:tcPr>
            <w:tcW w:w="3256" w:type="dxa"/>
          </w:tcPr>
          <w:p w:rsidR="009A63F6" w:rsidRPr="00EA1D7C" w:rsidRDefault="009A63F6" w:rsidP="009A63F6">
            <w:pPr>
              <w:rPr>
                <w:sz w:val="20"/>
                <w:szCs w:val="20"/>
              </w:rPr>
            </w:pPr>
            <w:r>
              <w:rPr>
                <w:sz w:val="20"/>
                <w:szCs w:val="20"/>
              </w:rPr>
              <w:t>August 15 monitoring position</w:t>
            </w:r>
          </w:p>
        </w:tc>
        <w:tc>
          <w:tcPr>
            <w:tcW w:w="1989" w:type="dxa"/>
            <w:shd w:val="clear" w:color="auto" w:fill="auto"/>
          </w:tcPr>
          <w:p w:rsidR="009A63F6" w:rsidRPr="002B630A" w:rsidRDefault="009A63F6" w:rsidP="009A63F6">
            <w:pPr>
              <w:jc w:val="right"/>
              <w:rPr>
                <w:sz w:val="20"/>
                <w:szCs w:val="20"/>
              </w:rPr>
            </w:pPr>
            <w:r w:rsidRPr="00FB7ABB">
              <w:rPr>
                <w:noProof/>
                <w:sz w:val="20"/>
                <w:szCs w:val="20"/>
              </w:rPr>
              <w:t>2.984</w:t>
            </w:r>
          </w:p>
        </w:tc>
        <w:tc>
          <w:tcPr>
            <w:tcW w:w="1843" w:type="dxa"/>
            <w:shd w:val="clear" w:color="auto" w:fill="auto"/>
          </w:tcPr>
          <w:p w:rsidR="009A63F6" w:rsidRPr="002B630A" w:rsidRDefault="009A63F6" w:rsidP="009A63F6">
            <w:pPr>
              <w:jc w:val="right"/>
              <w:rPr>
                <w:sz w:val="20"/>
                <w:szCs w:val="20"/>
              </w:rPr>
            </w:pPr>
          </w:p>
        </w:tc>
        <w:tc>
          <w:tcPr>
            <w:tcW w:w="2126" w:type="dxa"/>
            <w:shd w:val="clear" w:color="auto" w:fill="auto"/>
          </w:tcPr>
          <w:p w:rsidR="009A63F6" w:rsidRPr="002B630A" w:rsidRDefault="009A63F6" w:rsidP="009A63F6">
            <w:pPr>
              <w:jc w:val="right"/>
              <w:rPr>
                <w:sz w:val="20"/>
                <w:szCs w:val="20"/>
              </w:rPr>
            </w:pPr>
          </w:p>
        </w:tc>
      </w:tr>
      <w:tr w:rsidR="009A63F6" w:rsidRPr="002B630A" w:rsidTr="00CA08E7">
        <w:tc>
          <w:tcPr>
            <w:tcW w:w="3256" w:type="dxa"/>
          </w:tcPr>
          <w:p w:rsidR="009A63F6" w:rsidRPr="00EA1D7C" w:rsidRDefault="009A63F6" w:rsidP="009A63F6">
            <w:pPr>
              <w:rPr>
                <w:sz w:val="20"/>
                <w:szCs w:val="20"/>
              </w:rPr>
            </w:pPr>
            <w:r w:rsidRPr="00EA1D7C">
              <w:rPr>
                <w:sz w:val="20"/>
                <w:szCs w:val="20"/>
              </w:rPr>
              <w:t>Demand variations</w:t>
            </w:r>
            <w:r>
              <w:rPr>
                <w:sz w:val="20"/>
                <w:szCs w:val="20"/>
              </w:rPr>
              <w:t xml:space="preserve"> (cumulative)</w:t>
            </w:r>
          </w:p>
        </w:tc>
        <w:tc>
          <w:tcPr>
            <w:tcW w:w="1989" w:type="dxa"/>
            <w:tcBorders>
              <w:bottom w:val="single" w:sz="4" w:space="0" w:color="auto"/>
            </w:tcBorders>
          </w:tcPr>
          <w:p w:rsidR="009A63F6" w:rsidRPr="002B630A" w:rsidRDefault="009A63F6" w:rsidP="009A63F6">
            <w:pPr>
              <w:jc w:val="right"/>
              <w:rPr>
                <w:sz w:val="20"/>
                <w:szCs w:val="20"/>
              </w:rPr>
            </w:pPr>
          </w:p>
        </w:tc>
        <w:tc>
          <w:tcPr>
            <w:tcW w:w="1843" w:type="dxa"/>
            <w:tcBorders>
              <w:bottom w:val="single" w:sz="4" w:space="0" w:color="auto"/>
            </w:tcBorders>
          </w:tcPr>
          <w:p w:rsidR="009A63F6" w:rsidRPr="002B630A" w:rsidRDefault="009A63F6" w:rsidP="009A63F6">
            <w:pPr>
              <w:jc w:val="right"/>
              <w:rPr>
                <w:sz w:val="20"/>
                <w:szCs w:val="20"/>
              </w:rPr>
            </w:pPr>
            <w:r w:rsidRPr="00FB7ABB">
              <w:rPr>
                <w:noProof/>
                <w:sz w:val="20"/>
                <w:szCs w:val="20"/>
              </w:rPr>
              <w:t>0.000</w:t>
            </w:r>
          </w:p>
        </w:tc>
        <w:tc>
          <w:tcPr>
            <w:tcW w:w="2126" w:type="dxa"/>
            <w:tcBorders>
              <w:bottom w:val="single" w:sz="4" w:space="0" w:color="auto"/>
            </w:tcBorders>
          </w:tcPr>
          <w:p w:rsidR="009A63F6" w:rsidRPr="002B630A" w:rsidRDefault="009A63F6" w:rsidP="009A63F6">
            <w:pPr>
              <w:jc w:val="right"/>
              <w:rPr>
                <w:sz w:val="20"/>
                <w:szCs w:val="20"/>
              </w:rPr>
            </w:pPr>
            <w:r w:rsidRPr="00FB7ABB">
              <w:rPr>
                <w:noProof/>
                <w:sz w:val="20"/>
                <w:szCs w:val="20"/>
              </w:rPr>
              <w:t>0.000</w:t>
            </w:r>
          </w:p>
        </w:tc>
      </w:tr>
      <w:tr w:rsidR="009A63F6" w:rsidRPr="002B630A" w:rsidTr="00CA08E7">
        <w:tc>
          <w:tcPr>
            <w:tcW w:w="3256" w:type="dxa"/>
            <w:tcBorders>
              <w:right w:val="single" w:sz="4" w:space="0" w:color="auto"/>
            </w:tcBorders>
          </w:tcPr>
          <w:p w:rsidR="009A63F6" w:rsidRPr="00EA1D7C" w:rsidRDefault="009A63F6" w:rsidP="009A63F6">
            <w:pPr>
              <w:rPr>
                <w:sz w:val="20"/>
                <w:szCs w:val="20"/>
              </w:rPr>
            </w:pPr>
            <w:r>
              <w:rPr>
                <w:sz w:val="20"/>
                <w:szCs w:val="20"/>
              </w:rPr>
              <w:t>Price variations (cumulative)</w:t>
            </w:r>
          </w:p>
        </w:tc>
        <w:tc>
          <w:tcPr>
            <w:tcW w:w="1989"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1.896</w:t>
            </w:r>
          </w:p>
        </w:tc>
        <w:tc>
          <w:tcPr>
            <w:tcW w:w="2126"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1.315</w:t>
            </w:r>
          </w:p>
        </w:tc>
      </w:tr>
      <w:tr w:rsidR="009A63F6" w:rsidRPr="002B630A" w:rsidTr="00CA08E7">
        <w:tc>
          <w:tcPr>
            <w:tcW w:w="3256" w:type="dxa"/>
            <w:tcBorders>
              <w:right w:val="single" w:sz="4" w:space="0" w:color="auto"/>
            </w:tcBorders>
          </w:tcPr>
          <w:p w:rsidR="009A63F6" w:rsidRPr="004D588F" w:rsidRDefault="009A63F6" w:rsidP="009A63F6">
            <w:pPr>
              <w:rPr>
                <w:sz w:val="20"/>
                <w:szCs w:val="20"/>
              </w:rPr>
            </w:pPr>
            <w:r>
              <w:rPr>
                <w:sz w:val="20"/>
                <w:szCs w:val="20"/>
              </w:rPr>
              <w:t>Undeliverable savings (cumulative)</w:t>
            </w:r>
          </w:p>
        </w:tc>
        <w:tc>
          <w:tcPr>
            <w:tcW w:w="1989"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0.000</w:t>
            </w:r>
          </w:p>
        </w:tc>
      </w:tr>
      <w:tr w:rsidR="009A63F6" w:rsidRPr="002B630A" w:rsidTr="00CA08E7">
        <w:tc>
          <w:tcPr>
            <w:tcW w:w="3256" w:type="dxa"/>
            <w:tcBorders>
              <w:right w:val="single" w:sz="4" w:space="0" w:color="auto"/>
            </w:tcBorders>
          </w:tcPr>
          <w:p w:rsidR="009A63F6" w:rsidRDefault="009A63F6" w:rsidP="009A63F6">
            <w:pPr>
              <w:rPr>
                <w:sz w:val="20"/>
                <w:szCs w:val="20"/>
              </w:rPr>
            </w:pPr>
            <w:r>
              <w:rPr>
                <w:sz w:val="20"/>
                <w:szCs w:val="20"/>
              </w:rPr>
              <w:t>Loss of grant (cumulative)</w:t>
            </w:r>
          </w:p>
        </w:tc>
        <w:tc>
          <w:tcPr>
            <w:tcW w:w="1989"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6.000</w:t>
            </w:r>
          </w:p>
        </w:tc>
        <w:tc>
          <w:tcPr>
            <w:tcW w:w="2126"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6.000</w:t>
            </w:r>
          </w:p>
        </w:tc>
      </w:tr>
      <w:tr w:rsidR="009A63F6" w:rsidRPr="002B630A" w:rsidTr="00CA08E7">
        <w:tc>
          <w:tcPr>
            <w:tcW w:w="3256" w:type="dxa"/>
            <w:tcBorders>
              <w:bottom w:val="single" w:sz="4" w:space="0" w:color="auto"/>
            </w:tcBorders>
            <w:shd w:val="clear" w:color="auto" w:fill="BFBFBF" w:themeFill="background1" w:themeFillShade="BF"/>
          </w:tcPr>
          <w:p w:rsidR="009A63F6" w:rsidRPr="00EA1D7C" w:rsidRDefault="009A63F6" w:rsidP="009A63F6">
            <w:pPr>
              <w:rPr>
                <w:b/>
                <w:sz w:val="20"/>
                <w:szCs w:val="20"/>
              </w:rPr>
            </w:pPr>
            <w:r>
              <w:rPr>
                <w:b/>
                <w:sz w:val="20"/>
                <w:szCs w:val="20"/>
              </w:rPr>
              <w:t>Revised Resource Requirement</w:t>
            </w:r>
          </w:p>
        </w:tc>
        <w:tc>
          <w:tcPr>
            <w:tcW w:w="1989" w:type="dxa"/>
            <w:tcBorders>
              <w:top w:val="single" w:sz="4" w:space="0" w:color="auto"/>
              <w:bottom w:val="single" w:sz="4" w:space="0" w:color="auto"/>
            </w:tcBorders>
            <w:shd w:val="clear" w:color="auto" w:fill="BFBFBF" w:themeFill="background1" w:themeFillShade="BF"/>
          </w:tcPr>
          <w:p w:rsidR="009A63F6" w:rsidRPr="00877382" w:rsidRDefault="009A63F6" w:rsidP="009A63F6">
            <w:pPr>
              <w:jc w:val="right"/>
              <w:rPr>
                <w:b/>
                <w:sz w:val="20"/>
                <w:szCs w:val="20"/>
              </w:rPr>
            </w:pPr>
            <w:r w:rsidRPr="00FB7ABB">
              <w:rPr>
                <w:b/>
                <w:noProof/>
                <w:sz w:val="20"/>
                <w:szCs w:val="20"/>
              </w:rPr>
              <w:t>26.575</w:t>
            </w:r>
          </w:p>
        </w:tc>
        <w:tc>
          <w:tcPr>
            <w:tcW w:w="1843" w:type="dxa"/>
            <w:tcBorders>
              <w:top w:val="single" w:sz="4" w:space="0" w:color="auto"/>
              <w:bottom w:val="single" w:sz="4" w:space="0" w:color="auto"/>
            </w:tcBorders>
            <w:shd w:val="clear" w:color="auto" w:fill="BFBFBF" w:themeFill="background1" w:themeFillShade="BF"/>
          </w:tcPr>
          <w:p w:rsidR="009A63F6" w:rsidRPr="00877382" w:rsidRDefault="009A63F6" w:rsidP="009A63F6">
            <w:pPr>
              <w:jc w:val="right"/>
              <w:rPr>
                <w:b/>
                <w:sz w:val="20"/>
                <w:szCs w:val="20"/>
              </w:rPr>
            </w:pPr>
            <w:r w:rsidRPr="00FB7ABB">
              <w:rPr>
                <w:b/>
                <w:noProof/>
                <w:sz w:val="20"/>
                <w:szCs w:val="20"/>
              </w:rPr>
              <w:t>32.669</w:t>
            </w:r>
          </w:p>
        </w:tc>
        <w:tc>
          <w:tcPr>
            <w:tcW w:w="2126" w:type="dxa"/>
            <w:tcBorders>
              <w:top w:val="single" w:sz="4" w:space="0" w:color="auto"/>
              <w:bottom w:val="single" w:sz="4" w:space="0" w:color="auto"/>
            </w:tcBorders>
            <w:shd w:val="clear" w:color="auto" w:fill="BFBFBF" w:themeFill="background1" w:themeFillShade="BF"/>
          </w:tcPr>
          <w:p w:rsidR="009A63F6" w:rsidRPr="00877382" w:rsidRDefault="009A63F6" w:rsidP="009A63F6">
            <w:pPr>
              <w:jc w:val="right"/>
              <w:rPr>
                <w:b/>
                <w:sz w:val="20"/>
                <w:szCs w:val="20"/>
              </w:rPr>
            </w:pPr>
            <w:r w:rsidRPr="00FB7ABB">
              <w:rPr>
                <w:b/>
                <w:noProof/>
                <w:sz w:val="20"/>
                <w:szCs w:val="20"/>
              </w:rPr>
              <w:t>34.798</w:t>
            </w:r>
          </w:p>
        </w:tc>
      </w:tr>
      <w:tr w:rsidR="009A63F6" w:rsidRPr="002B630A" w:rsidTr="00CA08E7">
        <w:tc>
          <w:tcPr>
            <w:tcW w:w="3256" w:type="dxa"/>
            <w:shd w:val="clear" w:color="auto" w:fill="auto"/>
          </w:tcPr>
          <w:p w:rsidR="009A63F6" w:rsidRPr="00F26FCF" w:rsidRDefault="009A63F6" w:rsidP="009A63F6">
            <w:pPr>
              <w:rPr>
                <w:sz w:val="20"/>
                <w:szCs w:val="20"/>
              </w:rPr>
            </w:pPr>
            <w:r>
              <w:rPr>
                <w:sz w:val="20"/>
                <w:szCs w:val="20"/>
              </w:rPr>
              <w:t>Additional savings target for approval (cumulative)</w:t>
            </w:r>
          </w:p>
        </w:tc>
        <w:tc>
          <w:tcPr>
            <w:tcW w:w="1989" w:type="dxa"/>
            <w:shd w:val="clear" w:color="auto" w:fill="auto"/>
          </w:tcPr>
          <w:p w:rsidR="009A63F6" w:rsidRPr="002B630A" w:rsidRDefault="009A63F6" w:rsidP="009A63F6">
            <w:pPr>
              <w:jc w:val="right"/>
              <w:rPr>
                <w:sz w:val="20"/>
                <w:szCs w:val="20"/>
              </w:rPr>
            </w:pPr>
            <w:r w:rsidRPr="00FB7ABB">
              <w:rPr>
                <w:noProof/>
                <w:sz w:val="20"/>
                <w:szCs w:val="20"/>
              </w:rPr>
              <w:t>0.000</w:t>
            </w:r>
          </w:p>
        </w:tc>
        <w:tc>
          <w:tcPr>
            <w:tcW w:w="1843" w:type="dxa"/>
            <w:shd w:val="clear" w:color="auto" w:fill="auto"/>
          </w:tcPr>
          <w:p w:rsidR="009A63F6" w:rsidRPr="002B630A" w:rsidRDefault="009A63F6" w:rsidP="009A63F6">
            <w:pPr>
              <w:jc w:val="right"/>
              <w:rPr>
                <w:sz w:val="20"/>
                <w:szCs w:val="20"/>
              </w:rPr>
            </w:pPr>
            <w:r w:rsidRPr="00FB7ABB">
              <w:rPr>
                <w:noProof/>
                <w:sz w:val="20"/>
                <w:szCs w:val="20"/>
              </w:rPr>
              <w:t>-8.500</w:t>
            </w:r>
          </w:p>
        </w:tc>
        <w:tc>
          <w:tcPr>
            <w:tcW w:w="2126" w:type="dxa"/>
            <w:shd w:val="clear" w:color="auto" w:fill="auto"/>
          </w:tcPr>
          <w:p w:rsidR="009A63F6" w:rsidRPr="002B630A" w:rsidRDefault="009A63F6" w:rsidP="009A63F6">
            <w:pPr>
              <w:jc w:val="right"/>
              <w:rPr>
                <w:sz w:val="20"/>
                <w:szCs w:val="20"/>
              </w:rPr>
            </w:pPr>
            <w:r w:rsidRPr="00FB7ABB">
              <w:rPr>
                <w:noProof/>
                <w:sz w:val="20"/>
                <w:szCs w:val="20"/>
              </w:rPr>
              <w:t>-8.500</w:t>
            </w:r>
          </w:p>
        </w:tc>
      </w:tr>
      <w:tr w:rsidR="009A63F6" w:rsidRPr="002B630A" w:rsidTr="00CA08E7">
        <w:tc>
          <w:tcPr>
            <w:tcW w:w="3256" w:type="dxa"/>
            <w:shd w:val="clear" w:color="auto" w:fill="BFBFBF" w:themeFill="background1" w:themeFillShade="BF"/>
          </w:tcPr>
          <w:p w:rsidR="009A63F6" w:rsidRPr="00F26FCF" w:rsidRDefault="009A63F6" w:rsidP="009A63F6">
            <w:pPr>
              <w:rPr>
                <w:b/>
                <w:sz w:val="20"/>
                <w:szCs w:val="20"/>
              </w:rPr>
            </w:pPr>
            <w:r w:rsidRPr="00F26FCF">
              <w:rPr>
                <w:b/>
                <w:sz w:val="20"/>
                <w:szCs w:val="20"/>
              </w:rPr>
              <w:t>Revised proposed budget</w:t>
            </w:r>
          </w:p>
        </w:tc>
        <w:tc>
          <w:tcPr>
            <w:tcW w:w="1989" w:type="dxa"/>
            <w:shd w:val="clear" w:color="auto" w:fill="BFBFBF" w:themeFill="background1" w:themeFillShade="BF"/>
          </w:tcPr>
          <w:p w:rsidR="009A63F6" w:rsidRPr="00877382" w:rsidRDefault="009A63F6" w:rsidP="009A63F6">
            <w:pPr>
              <w:jc w:val="right"/>
              <w:rPr>
                <w:b/>
                <w:sz w:val="20"/>
                <w:szCs w:val="20"/>
              </w:rPr>
            </w:pPr>
            <w:r w:rsidRPr="00FB7ABB">
              <w:rPr>
                <w:b/>
                <w:noProof/>
                <w:sz w:val="20"/>
                <w:szCs w:val="20"/>
              </w:rPr>
              <w:t>26.575</w:t>
            </w:r>
          </w:p>
        </w:tc>
        <w:tc>
          <w:tcPr>
            <w:tcW w:w="1843" w:type="dxa"/>
            <w:shd w:val="clear" w:color="auto" w:fill="BFBFBF" w:themeFill="background1" w:themeFillShade="BF"/>
          </w:tcPr>
          <w:p w:rsidR="009A63F6" w:rsidRPr="00877382" w:rsidRDefault="009A63F6" w:rsidP="009A63F6">
            <w:pPr>
              <w:jc w:val="right"/>
              <w:rPr>
                <w:b/>
                <w:sz w:val="20"/>
                <w:szCs w:val="20"/>
              </w:rPr>
            </w:pPr>
            <w:r w:rsidRPr="00FB7ABB">
              <w:rPr>
                <w:b/>
                <w:noProof/>
                <w:sz w:val="20"/>
                <w:szCs w:val="20"/>
              </w:rPr>
              <w:t>24.169</w:t>
            </w:r>
          </w:p>
        </w:tc>
        <w:tc>
          <w:tcPr>
            <w:tcW w:w="2126" w:type="dxa"/>
            <w:shd w:val="clear" w:color="auto" w:fill="BFBFBF" w:themeFill="background1" w:themeFillShade="BF"/>
          </w:tcPr>
          <w:p w:rsidR="009A63F6" w:rsidRPr="00877382" w:rsidRDefault="009A63F6" w:rsidP="009A63F6">
            <w:pPr>
              <w:jc w:val="right"/>
              <w:rPr>
                <w:b/>
                <w:sz w:val="20"/>
                <w:szCs w:val="20"/>
              </w:rPr>
            </w:pPr>
            <w:r w:rsidRPr="00FB7ABB">
              <w:rPr>
                <w:b/>
                <w:noProof/>
                <w:sz w:val="20"/>
                <w:szCs w:val="20"/>
              </w:rPr>
              <w:t>26.298</w:t>
            </w:r>
          </w:p>
        </w:tc>
      </w:tr>
      <w:tr w:rsidR="009A63F6" w:rsidRPr="002B630A" w:rsidTr="00CA08E7">
        <w:tc>
          <w:tcPr>
            <w:tcW w:w="3256" w:type="dxa"/>
            <w:shd w:val="clear" w:color="auto" w:fill="auto"/>
          </w:tcPr>
          <w:p w:rsidR="009A63F6" w:rsidRDefault="009A63F6" w:rsidP="009A63F6">
            <w:pPr>
              <w:rPr>
                <w:sz w:val="20"/>
                <w:szCs w:val="20"/>
              </w:rPr>
            </w:pPr>
            <w:r>
              <w:rPr>
                <w:sz w:val="20"/>
                <w:szCs w:val="20"/>
              </w:rPr>
              <w:t>Proposed r</w:t>
            </w:r>
            <w:r w:rsidRPr="004D588F">
              <w:rPr>
                <w:sz w:val="20"/>
                <w:szCs w:val="20"/>
              </w:rPr>
              <w:t>isk reserve provision</w:t>
            </w:r>
          </w:p>
          <w:p w:rsidR="009A63F6" w:rsidRPr="004D588F" w:rsidRDefault="009A63F6" w:rsidP="009A63F6">
            <w:pPr>
              <w:rPr>
                <w:sz w:val="20"/>
                <w:szCs w:val="20"/>
              </w:rPr>
            </w:pPr>
            <w:r>
              <w:rPr>
                <w:sz w:val="20"/>
                <w:szCs w:val="20"/>
              </w:rPr>
              <w:t>(discrete year)</w:t>
            </w:r>
          </w:p>
        </w:tc>
        <w:tc>
          <w:tcPr>
            <w:tcW w:w="1989" w:type="dxa"/>
            <w:shd w:val="clear" w:color="auto" w:fill="auto"/>
          </w:tcPr>
          <w:p w:rsidR="009A63F6" w:rsidRPr="002B630A" w:rsidRDefault="009A63F6" w:rsidP="009A63F6">
            <w:pPr>
              <w:jc w:val="right"/>
              <w:rPr>
                <w:sz w:val="20"/>
                <w:szCs w:val="20"/>
              </w:rPr>
            </w:pPr>
          </w:p>
        </w:tc>
        <w:tc>
          <w:tcPr>
            <w:tcW w:w="1843" w:type="dxa"/>
            <w:shd w:val="clear" w:color="auto" w:fill="auto"/>
          </w:tcPr>
          <w:p w:rsidR="009A63F6" w:rsidRPr="002B630A" w:rsidRDefault="009A63F6" w:rsidP="009A63F6">
            <w:pPr>
              <w:jc w:val="right"/>
              <w:rPr>
                <w:sz w:val="20"/>
                <w:szCs w:val="20"/>
              </w:rPr>
            </w:pPr>
            <w:r w:rsidRPr="00FB7ABB">
              <w:rPr>
                <w:noProof/>
                <w:sz w:val="20"/>
                <w:szCs w:val="20"/>
              </w:rPr>
              <w:t>7.750</w:t>
            </w:r>
          </w:p>
        </w:tc>
        <w:tc>
          <w:tcPr>
            <w:tcW w:w="2126" w:type="dxa"/>
            <w:shd w:val="clear" w:color="auto" w:fill="auto"/>
          </w:tcPr>
          <w:p w:rsidR="009A63F6" w:rsidRPr="002B630A" w:rsidRDefault="009A63F6" w:rsidP="009A63F6">
            <w:pPr>
              <w:jc w:val="right"/>
              <w:rPr>
                <w:sz w:val="20"/>
                <w:szCs w:val="20"/>
              </w:rPr>
            </w:pPr>
            <w:r w:rsidRPr="00FB7ABB">
              <w:rPr>
                <w:noProof/>
                <w:sz w:val="20"/>
                <w:szCs w:val="20"/>
              </w:rPr>
              <w:t>4.500</w:t>
            </w:r>
          </w:p>
        </w:tc>
      </w:tr>
      <w:tr w:rsidR="00452C66" w:rsidRPr="002B630A" w:rsidTr="00CA08E7">
        <w:tc>
          <w:tcPr>
            <w:tcW w:w="3256" w:type="dxa"/>
          </w:tcPr>
          <w:p w:rsidR="00452C66" w:rsidRPr="004D588F" w:rsidRDefault="00452C66" w:rsidP="00CA08E7">
            <w:pPr>
              <w:rPr>
                <w:sz w:val="20"/>
                <w:szCs w:val="20"/>
              </w:rPr>
            </w:pPr>
            <w:r w:rsidRPr="004D588F">
              <w:rPr>
                <w:sz w:val="20"/>
                <w:szCs w:val="20"/>
              </w:rPr>
              <w:t xml:space="preserve">Policy Decisions needed to deliver the </w:t>
            </w:r>
            <w:r>
              <w:rPr>
                <w:sz w:val="20"/>
                <w:szCs w:val="20"/>
              </w:rPr>
              <w:t>budgeted savings</w:t>
            </w:r>
          </w:p>
        </w:tc>
        <w:tc>
          <w:tcPr>
            <w:tcW w:w="5958" w:type="dxa"/>
            <w:gridSpan w:val="3"/>
          </w:tcPr>
          <w:p w:rsidR="002A3037" w:rsidRPr="002A3037" w:rsidRDefault="002A3037" w:rsidP="00CA08E7">
            <w:pPr>
              <w:pStyle w:val="ListParagraph"/>
              <w:numPr>
                <w:ilvl w:val="3"/>
                <w:numId w:val="14"/>
              </w:numPr>
              <w:ind w:left="360"/>
              <w:rPr>
                <w:sz w:val="20"/>
                <w:szCs w:val="20"/>
              </w:rPr>
            </w:pPr>
            <w:r w:rsidRPr="002A3037">
              <w:rPr>
                <w:sz w:val="20"/>
                <w:szCs w:val="20"/>
              </w:rPr>
              <w:t>To reduce processing activities and associated costs within the Farington and Thornton waste recovery parks, where these processes are uneconomic relative to available alternative disposal options.</w:t>
            </w:r>
            <w:r w:rsidRPr="002A3037">
              <w:rPr>
                <w:sz w:val="20"/>
                <w:szCs w:val="20"/>
              </w:rPr>
              <w:br/>
            </w:r>
          </w:p>
          <w:p w:rsidR="002A3037" w:rsidRDefault="000A6DFF" w:rsidP="00CA08E7">
            <w:pPr>
              <w:pStyle w:val="ListParagraph"/>
              <w:numPr>
                <w:ilvl w:val="3"/>
                <w:numId w:val="14"/>
              </w:numPr>
              <w:ind w:left="360"/>
              <w:rPr>
                <w:sz w:val="20"/>
                <w:szCs w:val="20"/>
              </w:rPr>
            </w:pPr>
            <w:r>
              <w:rPr>
                <w:sz w:val="20"/>
                <w:szCs w:val="20"/>
              </w:rPr>
              <w:t xml:space="preserve">In </w:t>
            </w:r>
            <w:r w:rsidR="002A3037">
              <w:rPr>
                <w:sz w:val="20"/>
                <w:szCs w:val="20"/>
              </w:rPr>
              <w:t>ceasing processing activities any related plant and equipment will be 'mothballed' and maintained to take advantage of future market opportunities.</w:t>
            </w:r>
            <w:r w:rsidR="002A3037">
              <w:rPr>
                <w:sz w:val="20"/>
                <w:szCs w:val="20"/>
              </w:rPr>
              <w:br/>
            </w:r>
          </w:p>
          <w:p w:rsidR="002A3037" w:rsidRDefault="002A3037" w:rsidP="00CA08E7">
            <w:pPr>
              <w:pStyle w:val="ListParagraph"/>
              <w:numPr>
                <w:ilvl w:val="3"/>
                <w:numId w:val="14"/>
              </w:numPr>
              <w:ind w:left="360"/>
              <w:rPr>
                <w:sz w:val="20"/>
                <w:szCs w:val="20"/>
              </w:rPr>
            </w:pPr>
            <w:r>
              <w:rPr>
                <w:sz w:val="20"/>
                <w:szCs w:val="20"/>
              </w:rPr>
              <w:t xml:space="preserve">Cease composting of co-mingled food and garden waste.  </w:t>
            </w:r>
            <w:proofErr w:type="gramStart"/>
            <w:r>
              <w:rPr>
                <w:sz w:val="20"/>
                <w:szCs w:val="20"/>
              </w:rPr>
              <w:t>Advise</w:t>
            </w:r>
            <w:proofErr w:type="gramEnd"/>
            <w:r>
              <w:rPr>
                <w:sz w:val="20"/>
                <w:szCs w:val="20"/>
              </w:rPr>
              <w:t xml:space="preserve"> waste collection authorities that in future the council will only provide facilities for composting green waste that does not include food. </w:t>
            </w:r>
            <w:r>
              <w:rPr>
                <w:sz w:val="20"/>
                <w:szCs w:val="20"/>
              </w:rPr>
              <w:br/>
            </w:r>
          </w:p>
          <w:p w:rsidR="000A6DFF" w:rsidRDefault="000A6DFF" w:rsidP="00CA08E7">
            <w:pPr>
              <w:pStyle w:val="ListParagraph"/>
              <w:numPr>
                <w:ilvl w:val="3"/>
                <w:numId w:val="14"/>
              </w:numPr>
              <w:ind w:left="360"/>
              <w:rPr>
                <w:sz w:val="20"/>
                <w:szCs w:val="20"/>
              </w:rPr>
            </w:pPr>
            <w:r w:rsidRPr="000A6DFF">
              <w:rPr>
                <w:sz w:val="20"/>
                <w:szCs w:val="20"/>
              </w:rPr>
              <w:t>Downsize the council's waste company through a transformation and restructuring exercise.</w:t>
            </w:r>
            <w:r>
              <w:rPr>
                <w:sz w:val="20"/>
                <w:szCs w:val="20"/>
              </w:rPr>
              <w:br/>
            </w:r>
          </w:p>
          <w:p w:rsidR="000A6DFF" w:rsidRPr="000A6DFF" w:rsidRDefault="000A6DFF" w:rsidP="00CA08E7">
            <w:pPr>
              <w:pStyle w:val="ListParagraph"/>
              <w:numPr>
                <w:ilvl w:val="3"/>
                <w:numId w:val="14"/>
              </w:numPr>
              <w:ind w:left="360"/>
              <w:rPr>
                <w:sz w:val="20"/>
                <w:szCs w:val="20"/>
              </w:rPr>
            </w:pPr>
            <w:r w:rsidRPr="000A6DFF">
              <w:rPr>
                <w:sz w:val="20"/>
                <w:szCs w:val="20"/>
              </w:rPr>
              <w:t>Cease the Environmental Education service (including adult and community programme) provided by the company</w:t>
            </w:r>
          </w:p>
          <w:p w:rsidR="000A6DFF" w:rsidRDefault="000A6DFF" w:rsidP="00CA08E7">
            <w:pPr>
              <w:pStyle w:val="ListParagraph"/>
              <w:ind w:left="-2160"/>
              <w:rPr>
                <w:sz w:val="20"/>
                <w:szCs w:val="20"/>
              </w:rPr>
            </w:pPr>
          </w:p>
          <w:p w:rsidR="00B34152" w:rsidRPr="00B34152" w:rsidRDefault="000A6DFF" w:rsidP="00CA08E7">
            <w:pPr>
              <w:pStyle w:val="ListParagraph"/>
              <w:numPr>
                <w:ilvl w:val="3"/>
                <w:numId w:val="14"/>
              </w:numPr>
              <w:ind w:left="360"/>
              <w:rPr>
                <w:sz w:val="20"/>
                <w:szCs w:val="20"/>
              </w:rPr>
            </w:pPr>
            <w:r w:rsidRPr="00B34152">
              <w:rPr>
                <w:sz w:val="20"/>
                <w:szCs w:val="20"/>
              </w:rPr>
              <w:t xml:space="preserve">Cease the </w:t>
            </w:r>
            <w:r w:rsidR="00091958" w:rsidRPr="00B34152">
              <w:rPr>
                <w:sz w:val="20"/>
                <w:szCs w:val="20"/>
              </w:rPr>
              <w:t>waste minimisation and communications services provided by the waste company.</w:t>
            </w:r>
            <w:r w:rsidRPr="00B34152">
              <w:rPr>
                <w:sz w:val="20"/>
                <w:szCs w:val="20"/>
              </w:rPr>
              <w:br/>
            </w:r>
          </w:p>
          <w:p w:rsidR="002135B5" w:rsidRPr="000A6DFF" w:rsidRDefault="00B34152" w:rsidP="00CA08E7">
            <w:pPr>
              <w:pStyle w:val="ListParagraph"/>
              <w:numPr>
                <w:ilvl w:val="3"/>
                <w:numId w:val="14"/>
              </w:numPr>
              <w:ind w:left="360"/>
              <w:rPr>
                <w:sz w:val="20"/>
                <w:szCs w:val="20"/>
              </w:rPr>
            </w:pPr>
            <w:r>
              <w:rPr>
                <w:sz w:val="20"/>
                <w:szCs w:val="20"/>
              </w:rPr>
              <w:t>Undertake market testing and procurement activity to determine potential market opportunities for reconfiguring the entirety of the council's waste services.  This will include exploring the release of value from assets including the council's waste recovery parks, transfer stations and long term landfill contracts.</w:t>
            </w:r>
            <w:r>
              <w:rPr>
                <w:sz w:val="20"/>
                <w:szCs w:val="20"/>
              </w:rPr>
              <w:br/>
            </w:r>
          </w:p>
          <w:p w:rsidR="004143DF" w:rsidRPr="00271B7D" w:rsidRDefault="006C0ECE" w:rsidP="00CA08E7">
            <w:pPr>
              <w:spacing w:line="252" w:lineRule="auto"/>
              <w:rPr>
                <w:sz w:val="20"/>
                <w:szCs w:val="20"/>
              </w:rPr>
            </w:pPr>
            <w:r w:rsidRPr="00271B7D">
              <w:rPr>
                <w:sz w:val="20"/>
                <w:szCs w:val="20"/>
              </w:rPr>
              <w:t xml:space="preserve">Approval to reduce </w:t>
            </w:r>
            <w:r w:rsidR="00A17C1E" w:rsidRPr="00271B7D">
              <w:rPr>
                <w:sz w:val="20"/>
                <w:szCs w:val="20"/>
              </w:rPr>
              <w:t>the revenue budget from 1</w:t>
            </w:r>
            <w:r w:rsidR="00A17C1E" w:rsidRPr="00271B7D">
              <w:rPr>
                <w:sz w:val="20"/>
                <w:szCs w:val="20"/>
                <w:vertAlign w:val="superscript"/>
              </w:rPr>
              <w:t>st</w:t>
            </w:r>
            <w:r w:rsidR="004D7590">
              <w:rPr>
                <w:sz w:val="20"/>
                <w:szCs w:val="20"/>
              </w:rPr>
              <w:t xml:space="preserve"> April 2016 by £8.500m and to use </w:t>
            </w:r>
            <w:r w:rsidR="004143DF" w:rsidRPr="00271B7D">
              <w:rPr>
                <w:sz w:val="20"/>
                <w:szCs w:val="20"/>
              </w:rPr>
              <w:t xml:space="preserve">£7.750m reserves in 16/17 and £4.500m reserves in 17/18 to fund the 'transition period' </w:t>
            </w:r>
            <w:r w:rsidR="004D7590">
              <w:rPr>
                <w:sz w:val="20"/>
                <w:szCs w:val="20"/>
              </w:rPr>
              <w:t>t</w:t>
            </w:r>
            <w:r w:rsidR="004143DF" w:rsidRPr="00271B7D">
              <w:rPr>
                <w:sz w:val="20"/>
                <w:szCs w:val="20"/>
              </w:rPr>
              <w:t>o enable service re</w:t>
            </w:r>
            <w:r w:rsidR="004D7590">
              <w:rPr>
                <w:sz w:val="20"/>
                <w:szCs w:val="20"/>
              </w:rPr>
              <w:t xml:space="preserve">configuration </w:t>
            </w:r>
            <w:r w:rsidR="004143DF" w:rsidRPr="00271B7D">
              <w:rPr>
                <w:sz w:val="20"/>
                <w:szCs w:val="20"/>
              </w:rPr>
              <w:t xml:space="preserve">by 1st April 2018.  </w:t>
            </w:r>
          </w:p>
          <w:p w:rsidR="004143DF" w:rsidRPr="002135B5" w:rsidRDefault="004143DF" w:rsidP="00CA08E7">
            <w:pPr>
              <w:rPr>
                <w:sz w:val="20"/>
                <w:szCs w:val="20"/>
              </w:rPr>
            </w:pPr>
          </w:p>
        </w:tc>
      </w:tr>
      <w:tr w:rsidR="00452C66" w:rsidRPr="002B630A" w:rsidTr="00981BBC">
        <w:tc>
          <w:tcPr>
            <w:tcW w:w="3256" w:type="dxa"/>
          </w:tcPr>
          <w:p w:rsidR="00452C66" w:rsidRDefault="00452C66" w:rsidP="00CA08E7">
            <w:pPr>
              <w:rPr>
                <w:sz w:val="20"/>
                <w:szCs w:val="20"/>
              </w:rPr>
            </w:pPr>
            <w:r w:rsidRPr="002B630A">
              <w:rPr>
                <w:sz w:val="20"/>
                <w:szCs w:val="20"/>
              </w:rPr>
              <w:lastRenderedPageBreak/>
              <w:t xml:space="preserve">Impact upon service </w:t>
            </w:r>
          </w:p>
          <w:p w:rsidR="008039DA" w:rsidRPr="002B630A" w:rsidRDefault="008039DA" w:rsidP="00CA08E7">
            <w:pPr>
              <w:rPr>
                <w:sz w:val="20"/>
                <w:szCs w:val="20"/>
              </w:rPr>
            </w:pPr>
          </w:p>
        </w:tc>
        <w:tc>
          <w:tcPr>
            <w:tcW w:w="5958" w:type="dxa"/>
            <w:gridSpan w:val="3"/>
          </w:tcPr>
          <w:p w:rsidR="002135B5" w:rsidRPr="002135B5" w:rsidRDefault="002135B5" w:rsidP="00CA08E7">
            <w:pPr>
              <w:pStyle w:val="ListParagraph"/>
              <w:numPr>
                <w:ilvl w:val="0"/>
                <w:numId w:val="7"/>
              </w:numPr>
              <w:ind w:left="360"/>
              <w:rPr>
                <w:sz w:val="20"/>
                <w:szCs w:val="20"/>
              </w:rPr>
            </w:pPr>
            <w:r w:rsidRPr="002135B5">
              <w:rPr>
                <w:sz w:val="20"/>
                <w:szCs w:val="20"/>
              </w:rPr>
              <w:t>Potential for reduced recovery of residual waste and increased landfill disposal should alternative cost effective arrangements for residual waste processing not be secured.</w:t>
            </w:r>
          </w:p>
          <w:p w:rsidR="002135B5" w:rsidRPr="00D007DA" w:rsidRDefault="002135B5" w:rsidP="00CA08E7">
            <w:pPr>
              <w:pStyle w:val="ListParagraph"/>
              <w:numPr>
                <w:ilvl w:val="0"/>
                <w:numId w:val="8"/>
              </w:numPr>
              <w:ind w:left="360"/>
              <w:rPr>
                <w:sz w:val="20"/>
                <w:szCs w:val="20"/>
              </w:rPr>
            </w:pPr>
            <w:r w:rsidRPr="002135B5">
              <w:rPr>
                <w:sz w:val="20"/>
                <w:szCs w:val="20"/>
              </w:rPr>
              <w:t>Changes to residual wa</w:t>
            </w:r>
            <w:r w:rsidR="00D007DA">
              <w:rPr>
                <w:sz w:val="20"/>
                <w:szCs w:val="20"/>
              </w:rPr>
              <w:t>ste operations and c</w:t>
            </w:r>
            <w:r w:rsidRPr="00D007DA">
              <w:rPr>
                <w:sz w:val="20"/>
                <w:szCs w:val="20"/>
              </w:rPr>
              <w:t>losure of in vessel composting processes will require procurement of third party contracts.</w:t>
            </w:r>
          </w:p>
          <w:p w:rsidR="002135B5" w:rsidRPr="002135B5" w:rsidRDefault="002135B5" w:rsidP="00CA08E7">
            <w:pPr>
              <w:pStyle w:val="ListParagraph"/>
              <w:numPr>
                <w:ilvl w:val="0"/>
                <w:numId w:val="9"/>
              </w:numPr>
              <w:ind w:left="360"/>
              <w:rPr>
                <w:sz w:val="20"/>
                <w:szCs w:val="20"/>
              </w:rPr>
            </w:pPr>
            <w:r w:rsidRPr="002135B5">
              <w:rPr>
                <w:sz w:val="20"/>
                <w:szCs w:val="20"/>
              </w:rPr>
              <w:t xml:space="preserve">Closure of in vessel composting processes will require Waste Collection Authorities to cease collection of co-mingled food and garden waste </w:t>
            </w:r>
            <w:r w:rsidR="00F4194F">
              <w:rPr>
                <w:sz w:val="20"/>
                <w:szCs w:val="20"/>
              </w:rPr>
              <w:t>(and collect garden waste only) or establish their own alternative facilities.</w:t>
            </w:r>
          </w:p>
          <w:p w:rsidR="002135B5" w:rsidRPr="002135B5" w:rsidRDefault="002135B5" w:rsidP="00CA08E7">
            <w:pPr>
              <w:pStyle w:val="ListParagraph"/>
              <w:numPr>
                <w:ilvl w:val="0"/>
                <w:numId w:val="8"/>
              </w:numPr>
              <w:ind w:left="360"/>
              <w:rPr>
                <w:sz w:val="20"/>
                <w:szCs w:val="20"/>
              </w:rPr>
            </w:pPr>
            <w:r w:rsidRPr="002135B5">
              <w:rPr>
                <w:sz w:val="20"/>
                <w:szCs w:val="20"/>
              </w:rPr>
              <w:t xml:space="preserve">Changes to residual waste processes </w:t>
            </w:r>
            <w:r w:rsidR="00B20438">
              <w:rPr>
                <w:sz w:val="20"/>
                <w:szCs w:val="20"/>
              </w:rPr>
              <w:t xml:space="preserve">and moth balling / decommissioning </w:t>
            </w:r>
            <w:r w:rsidRPr="002135B5">
              <w:rPr>
                <w:sz w:val="20"/>
                <w:szCs w:val="20"/>
              </w:rPr>
              <w:t>will require one-off capital investment</w:t>
            </w:r>
            <w:r w:rsidR="009E276F">
              <w:rPr>
                <w:sz w:val="20"/>
                <w:szCs w:val="20"/>
              </w:rPr>
              <w:t xml:space="preserve"> from the earmarked reserve</w:t>
            </w:r>
            <w:r w:rsidR="00843CAC">
              <w:rPr>
                <w:sz w:val="20"/>
                <w:szCs w:val="20"/>
              </w:rPr>
              <w:t>.</w:t>
            </w:r>
          </w:p>
          <w:p w:rsidR="00452C66" w:rsidRPr="002135B5" w:rsidRDefault="002135B5" w:rsidP="00CA08E7">
            <w:pPr>
              <w:pStyle w:val="ListParagraph"/>
              <w:numPr>
                <w:ilvl w:val="0"/>
                <w:numId w:val="8"/>
              </w:numPr>
              <w:ind w:left="360"/>
              <w:rPr>
                <w:sz w:val="20"/>
                <w:szCs w:val="20"/>
              </w:rPr>
            </w:pPr>
            <w:r w:rsidRPr="002135B5">
              <w:rPr>
                <w:sz w:val="20"/>
                <w:szCs w:val="20"/>
              </w:rPr>
              <w:t xml:space="preserve">A significant </w:t>
            </w:r>
            <w:r w:rsidR="00CA08E7">
              <w:rPr>
                <w:sz w:val="20"/>
                <w:szCs w:val="20"/>
              </w:rPr>
              <w:t xml:space="preserve">proportion of </w:t>
            </w:r>
            <w:r w:rsidR="00CE0468">
              <w:rPr>
                <w:sz w:val="20"/>
                <w:szCs w:val="20"/>
              </w:rPr>
              <w:t xml:space="preserve">the current </w:t>
            </w:r>
            <w:r w:rsidR="00CA08E7">
              <w:rPr>
                <w:sz w:val="20"/>
                <w:szCs w:val="20"/>
              </w:rPr>
              <w:t>34</w:t>
            </w:r>
            <w:r w:rsidRPr="002135B5">
              <w:rPr>
                <w:sz w:val="20"/>
                <w:szCs w:val="20"/>
              </w:rPr>
              <w:t xml:space="preserve">0 staff employed </w:t>
            </w:r>
            <w:r w:rsidR="00CE0468">
              <w:rPr>
                <w:sz w:val="20"/>
                <w:szCs w:val="20"/>
              </w:rPr>
              <w:t xml:space="preserve">by </w:t>
            </w:r>
            <w:r w:rsidRPr="002135B5">
              <w:rPr>
                <w:sz w:val="20"/>
                <w:szCs w:val="20"/>
              </w:rPr>
              <w:t>the waste company will face compulsory redundancy.</w:t>
            </w:r>
            <w:r w:rsidR="00A4505D">
              <w:rPr>
                <w:sz w:val="20"/>
                <w:szCs w:val="20"/>
              </w:rPr>
              <w:t xml:space="preserve">  This will result in one </w:t>
            </w:r>
            <w:r w:rsidRPr="002135B5">
              <w:rPr>
                <w:sz w:val="20"/>
                <w:szCs w:val="20"/>
              </w:rPr>
              <w:t>off re</w:t>
            </w:r>
            <w:r w:rsidR="00A4505D">
              <w:rPr>
                <w:sz w:val="20"/>
                <w:szCs w:val="20"/>
              </w:rPr>
              <w:t>dundancy costs.</w:t>
            </w:r>
          </w:p>
        </w:tc>
      </w:tr>
      <w:tr w:rsidR="00452C66" w:rsidRPr="002B630A" w:rsidTr="00981BBC">
        <w:tc>
          <w:tcPr>
            <w:tcW w:w="3256" w:type="dxa"/>
          </w:tcPr>
          <w:p w:rsidR="00452C66" w:rsidRPr="002B630A" w:rsidRDefault="00452C66" w:rsidP="00CA08E7">
            <w:pPr>
              <w:rPr>
                <w:sz w:val="20"/>
                <w:szCs w:val="20"/>
              </w:rPr>
            </w:pPr>
            <w:r w:rsidRPr="00F15B60">
              <w:rPr>
                <w:sz w:val="20"/>
                <w:szCs w:val="20"/>
              </w:rPr>
              <w:t>Actions needed to deliver the target savings</w:t>
            </w:r>
          </w:p>
        </w:tc>
        <w:tc>
          <w:tcPr>
            <w:tcW w:w="5958" w:type="dxa"/>
            <w:gridSpan w:val="3"/>
          </w:tcPr>
          <w:p w:rsidR="00BC1ECF" w:rsidRDefault="00BC1ECF" w:rsidP="00CA08E7">
            <w:pPr>
              <w:pStyle w:val="ListParagraph"/>
              <w:numPr>
                <w:ilvl w:val="0"/>
                <w:numId w:val="10"/>
              </w:numPr>
              <w:rPr>
                <w:sz w:val="20"/>
                <w:szCs w:val="20"/>
              </w:rPr>
            </w:pPr>
            <w:r>
              <w:rPr>
                <w:sz w:val="20"/>
                <w:szCs w:val="20"/>
              </w:rPr>
              <w:t>Consultation with the council's PFI partner, Blackpool Council, and the district collection authorities, particularly with respect to g</w:t>
            </w:r>
            <w:r w:rsidR="00FB4A59">
              <w:rPr>
                <w:sz w:val="20"/>
                <w:szCs w:val="20"/>
              </w:rPr>
              <w:t>arden and food waste composting, by 31</w:t>
            </w:r>
            <w:r w:rsidR="00FB4A59" w:rsidRPr="00FB4A59">
              <w:rPr>
                <w:sz w:val="20"/>
                <w:szCs w:val="20"/>
                <w:vertAlign w:val="superscript"/>
              </w:rPr>
              <w:t>st</w:t>
            </w:r>
            <w:r w:rsidR="00FB4A59">
              <w:rPr>
                <w:sz w:val="20"/>
                <w:szCs w:val="20"/>
              </w:rPr>
              <w:t xml:space="preserve"> December 2015.</w:t>
            </w:r>
          </w:p>
          <w:p w:rsidR="002135B5" w:rsidRPr="002135B5" w:rsidRDefault="00FB4A59" w:rsidP="00CA08E7">
            <w:pPr>
              <w:pStyle w:val="ListParagraph"/>
              <w:numPr>
                <w:ilvl w:val="0"/>
                <w:numId w:val="10"/>
              </w:numPr>
              <w:rPr>
                <w:sz w:val="20"/>
                <w:szCs w:val="20"/>
              </w:rPr>
            </w:pPr>
            <w:r>
              <w:rPr>
                <w:sz w:val="20"/>
                <w:szCs w:val="20"/>
              </w:rPr>
              <w:t>Commence p</w:t>
            </w:r>
            <w:r w:rsidR="002135B5" w:rsidRPr="002135B5">
              <w:rPr>
                <w:sz w:val="20"/>
                <w:szCs w:val="20"/>
              </w:rPr>
              <w:t>rocu</w:t>
            </w:r>
            <w:r w:rsidR="00E61B47">
              <w:rPr>
                <w:sz w:val="20"/>
                <w:szCs w:val="20"/>
              </w:rPr>
              <w:t>rement</w:t>
            </w:r>
            <w:r>
              <w:rPr>
                <w:sz w:val="20"/>
                <w:szCs w:val="20"/>
              </w:rPr>
              <w:t xml:space="preserve"> processes for </w:t>
            </w:r>
            <w:r w:rsidR="00E61B47">
              <w:rPr>
                <w:sz w:val="20"/>
                <w:szCs w:val="20"/>
              </w:rPr>
              <w:t>third party garden waste contract</w:t>
            </w:r>
            <w:r>
              <w:rPr>
                <w:sz w:val="20"/>
                <w:szCs w:val="20"/>
              </w:rPr>
              <w:t xml:space="preserve"> in December 2015.  </w:t>
            </w:r>
          </w:p>
          <w:p w:rsidR="002135B5" w:rsidRPr="002135B5" w:rsidRDefault="00FB4A59" w:rsidP="00CA08E7">
            <w:pPr>
              <w:pStyle w:val="ListParagraph"/>
              <w:numPr>
                <w:ilvl w:val="0"/>
                <w:numId w:val="10"/>
              </w:numPr>
              <w:rPr>
                <w:sz w:val="20"/>
                <w:szCs w:val="20"/>
              </w:rPr>
            </w:pPr>
            <w:r>
              <w:rPr>
                <w:sz w:val="20"/>
                <w:szCs w:val="20"/>
              </w:rPr>
              <w:t>Following procurement of garden waste contract i</w:t>
            </w:r>
            <w:r w:rsidR="00822576">
              <w:rPr>
                <w:sz w:val="20"/>
                <w:szCs w:val="20"/>
              </w:rPr>
              <w:t xml:space="preserve">nform </w:t>
            </w:r>
            <w:r>
              <w:rPr>
                <w:sz w:val="20"/>
                <w:szCs w:val="20"/>
              </w:rPr>
              <w:t xml:space="preserve">district councils of commencement date for delivering food excluded garden waste. (Target date April 2016)  </w:t>
            </w:r>
          </w:p>
          <w:p w:rsidR="002135B5" w:rsidRPr="002135B5" w:rsidRDefault="00FB4A59" w:rsidP="00CA08E7">
            <w:pPr>
              <w:pStyle w:val="ListParagraph"/>
              <w:numPr>
                <w:ilvl w:val="0"/>
                <w:numId w:val="10"/>
              </w:numPr>
              <w:rPr>
                <w:sz w:val="20"/>
                <w:szCs w:val="20"/>
              </w:rPr>
            </w:pPr>
            <w:r>
              <w:rPr>
                <w:sz w:val="20"/>
                <w:szCs w:val="20"/>
              </w:rPr>
              <w:t>Complete d</w:t>
            </w:r>
            <w:r w:rsidR="002135B5" w:rsidRPr="002135B5">
              <w:rPr>
                <w:sz w:val="20"/>
                <w:szCs w:val="20"/>
              </w:rPr>
              <w:t xml:space="preserve">evelopment </w:t>
            </w:r>
            <w:r>
              <w:rPr>
                <w:sz w:val="20"/>
                <w:szCs w:val="20"/>
              </w:rPr>
              <w:t xml:space="preserve">of </w:t>
            </w:r>
            <w:r w:rsidR="002135B5" w:rsidRPr="002135B5">
              <w:rPr>
                <w:sz w:val="20"/>
                <w:szCs w:val="20"/>
              </w:rPr>
              <w:t>wa</w:t>
            </w:r>
            <w:r>
              <w:rPr>
                <w:sz w:val="20"/>
                <w:szCs w:val="20"/>
              </w:rPr>
              <w:t>ste company transformation plan by 31</w:t>
            </w:r>
            <w:r w:rsidRPr="00FB4A59">
              <w:rPr>
                <w:sz w:val="20"/>
                <w:szCs w:val="20"/>
                <w:vertAlign w:val="superscript"/>
              </w:rPr>
              <w:t>st</w:t>
            </w:r>
            <w:r>
              <w:rPr>
                <w:sz w:val="20"/>
                <w:szCs w:val="20"/>
              </w:rPr>
              <w:t xml:space="preserve"> March 2016, followed by immediate implementation.</w:t>
            </w:r>
          </w:p>
          <w:p w:rsidR="002135B5" w:rsidRPr="002135B5" w:rsidRDefault="002135B5" w:rsidP="00CA08E7">
            <w:pPr>
              <w:pStyle w:val="ListParagraph"/>
              <w:numPr>
                <w:ilvl w:val="0"/>
                <w:numId w:val="10"/>
              </w:numPr>
              <w:rPr>
                <w:sz w:val="20"/>
                <w:szCs w:val="20"/>
              </w:rPr>
            </w:pPr>
            <w:r w:rsidRPr="002135B5">
              <w:rPr>
                <w:sz w:val="20"/>
                <w:szCs w:val="20"/>
              </w:rPr>
              <w:t>Consultation with waste comp</w:t>
            </w:r>
            <w:r w:rsidR="00016D5F">
              <w:rPr>
                <w:sz w:val="20"/>
                <w:szCs w:val="20"/>
              </w:rPr>
              <w:t>any, its staff and trade unions by 31</w:t>
            </w:r>
            <w:r w:rsidR="00016D5F" w:rsidRPr="00016D5F">
              <w:rPr>
                <w:sz w:val="20"/>
                <w:szCs w:val="20"/>
                <w:vertAlign w:val="superscript"/>
              </w:rPr>
              <w:t>st</w:t>
            </w:r>
            <w:r w:rsidR="00016D5F">
              <w:rPr>
                <w:sz w:val="20"/>
                <w:szCs w:val="20"/>
              </w:rPr>
              <w:t xml:space="preserve"> December 2015.</w:t>
            </w:r>
          </w:p>
          <w:p w:rsidR="002135B5" w:rsidRPr="002135B5" w:rsidRDefault="002135B5" w:rsidP="00CA08E7">
            <w:pPr>
              <w:pStyle w:val="ListParagraph"/>
              <w:numPr>
                <w:ilvl w:val="0"/>
                <w:numId w:val="10"/>
              </w:numPr>
              <w:rPr>
                <w:sz w:val="20"/>
                <w:szCs w:val="20"/>
              </w:rPr>
            </w:pPr>
            <w:r w:rsidRPr="002135B5">
              <w:rPr>
                <w:sz w:val="20"/>
                <w:szCs w:val="20"/>
              </w:rPr>
              <w:t>Delivery of modifications to residual waste processes and air management systems (capital works)</w:t>
            </w:r>
            <w:r w:rsidR="001F36E7">
              <w:rPr>
                <w:sz w:val="20"/>
                <w:szCs w:val="20"/>
              </w:rPr>
              <w:t xml:space="preserve"> during 2016.</w:t>
            </w:r>
          </w:p>
          <w:p w:rsidR="002135B5" w:rsidRPr="002135B5" w:rsidRDefault="001F36E7" w:rsidP="00CA08E7">
            <w:pPr>
              <w:pStyle w:val="ListParagraph"/>
              <w:numPr>
                <w:ilvl w:val="0"/>
                <w:numId w:val="10"/>
              </w:numPr>
              <w:rPr>
                <w:sz w:val="20"/>
                <w:szCs w:val="20"/>
              </w:rPr>
            </w:pPr>
            <w:r>
              <w:rPr>
                <w:sz w:val="20"/>
                <w:szCs w:val="20"/>
              </w:rPr>
              <w:t>Commence p</w:t>
            </w:r>
            <w:r w:rsidR="002135B5" w:rsidRPr="002135B5">
              <w:rPr>
                <w:sz w:val="20"/>
                <w:szCs w:val="20"/>
              </w:rPr>
              <w:t xml:space="preserve">rocurement </w:t>
            </w:r>
            <w:r>
              <w:rPr>
                <w:sz w:val="20"/>
                <w:szCs w:val="20"/>
              </w:rPr>
              <w:t xml:space="preserve">processes for </w:t>
            </w:r>
            <w:r w:rsidR="002135B5" w:rsidRPr="002135B5">
              <w:rPr>
                <w:sz w:val="20"/>
                <w:szCs w:val="20"/>
              </w:rPr>
              <w:t>third party residual waste contracts</w:t>
            </w:r>
            <w:r>
              <w:rPr>
                <w:sz w:val="20"/>
                <w:szCs w:val="20"/>
              </w:rPr>
              <w:t xml:space="preserve"> by 31</w:t>
            </w:r>
            <w:r w:rsidRPr="001F36E7">
              <w:rPr>
                <w:sz w:val="20"/>
                <w:szCs w:val="20"/>
                <w:vertAlign w:val="superscript"/>
              </w:rPr>
              <w:t>st</w:t>
            </w:r>
            <w:r>
              <w:rPr>
                <w:sz w:val="20"/>
                <w:szCs w:val="20"/>
              </w:rPr>
              <w:t xml:space="preserve"> December 2015.</w:t>
            </w:r>
          </w:p>
          <w:p w:rsidR="00452C66" w:rsidRDefault="002135B5" w:rsidP="00CA08E7">
            <w:pPr>
              <w:pStyle w:val="ListParagraph"/>
              <w:numPr>
                <w:ilvl w:val="0"/>
                <w:numId w:val="10"/>
              </w:numPr>
              <w:rPr>
                <w:sz w:val="20"/>
                <w:szCs w:val="20"/>
              </w:rPr>
            </w:pPr>
            <w:r w:rsidRPr="002135B5">
              <w:rPr>
                <w:sz w:val="20"/>
                <w:szCs w:val="20"/>
              </w:rPr>
              <w:t xml:space="preserve">De-commissioning </w:t>
            </w:r>
            <w:r w:rsidR="00822576">
              <w:rPr>
                <w:sz w:val="20"/>
                <w:szCs w:val="20"/>
              </w:rPr>
              <w:t xml:space="preserve">and moth balling </w:t>
            </w:r>
            <w:r w:rsidRPr="002135B5">
              <w:rPr>
                <w:sz w:val="20"/>
                <w:szCs w:val="20"/>
              </w:rPr>
              <w:t>of redundant processes</w:t>
            </w:r>
            <w:r w:rsidR="001F36E7">
              <w:rPr>
                <w:sz w:val="20"/>
                <w:szCs w:val="20"/>
              </w:rPr>
              <w:t xml:space="preserve"> </w:t>
            </w:r>
            <w:r w:rsidR="00A27B7A">
              <w:rPr>
                <w:sz w:val="20"/>
                <w:szCs w:val="20"/>
              </w:rPr>
              <w:t>by 31</w:t>
            </w:r>
            <w:r w:rsidR="00A27B7A" w:rsidRPr="00A27B7A">
              <w:rPr>
                <w:sz w:val="20"/>
                <w:szCs w:val="20"/>
                <w:vertAlign w:val="superscript"/>
              </w:rPr>
              <w:t>st</w:t>
            </w:r>
            <w:r w:rsidR="00A27B7A">
              <w:rPr>
                <w:sz w:val="20"/>
                <w:szCs w:val="20"/>
              </w:rPr>
              <w:t xml:space="preserve"> March 2017</w:t>
            </w:r>
            <w:r w:rsidR="001F36E7">
              <w:rPr>
                <w:sz w:val="20"/>
                <w:szCs w:val="20"/>
              </w:rPr>
              <w:t>.</w:t>
            </w:r>
          </w:p>
          <w:p w:rsidR="00F4194F" w:rsidRDefault="00474194" w:rsidP="00CA08E7">
            <w:pPr>
              <w:pStyle w:val="ListParagraph"/>
              <w:numPr>
                <w:ilvl w:val="0"/>
                <w:numId w:val="10"/>
              </w:numPr>
              <w:rPr>
                <w:sz w:val="20"/>
                <w:szCs w:val="20"/>
              </w:rPr>
            </w:pPr>
            <w:r>
              <w:rPr>
                <w:sz w:val="20"/>
                <w:szCs w:val="20"/>
              </w:rPr>
              <w:t xml:space="preserve">Establish </w:t>
            </w:r>
            <w:r w:rsidR="00F4194F">
              <w:rPr>
                <w:sz w:val="20"/>
                <w:szCs w:val="20"/>
              </w:rPr>
              <w:t>project team to explore market opportun</w:t>
            </w:r>
            <w:r w:rsidR="001F36E7">
              <w:rPr>
                <w:sz w:val="20"/>
                <w:szCs w:val="20"/>
              </w:rPr>
              <w:t>ities for realisation of assets by 31</w:t>
            </w:r>
            <w:r w:rsidR="001F36E7" w:rsidRPr="001F36E7">
              <w:rPr>
                <w:sz w:val="20"/>
                <w:szCs w:val="20"/>
                <w:vertAlign w:val="superscript"/>
              </w:rPr>
              <w:t>st</w:t>
            </w:r>
            <w:r w:rsidR="001F36E7">
              <w:rPr>
                <w:sz w:val="20"/>
                <w:szCs w:val="20"/>
              </w:rPr>
              <w:t xml:space="preserve"> December 2015.</w:t>
            </w:r>
          </w:p>
          <w:p w:rsidR="00946AC4" w:rsidRPr="002135B5" w:rsidRDefault="00946AC4" w:rsidP="00946AC4">
            <w:pPr>
              <w:pStyle w:val="ListParagraph"/>
              <w:ind w:left="360"/>
              <w:rPr>
                <w:sz w:val="20"/>
                <w:szCs w:val="20"/>
              </w:rPr>
            </w:pPr>
            <w:bookmarkStart w:id="0" w:name="_GoBack"/>
            <w:bookmarkEnd w:id="0"/>
          </w:p>
        </w:tc>
      </w:tr>
      <w:tr w:rsidR="008039DA" w:rsidRPr="002B630A" w:rsidTr="00CA08E7">
        <w:tc>
          <w:tcPr>
            <w:tcW w:w="3256" w:type="dxa"/>
          </w:tcPr>
          <w:p w:rsidR="008039DA" w:rsidRPr="00F15B60" w:rsidRDefault="008039DA" w:rsidP="00CA08E7">
            <w:pPr>
              <w:rPr>
                <w:sz w:val="20"/>
                <w:szCs w:val="20"/>
              </w:rPr>
            </w:pPr>
            <w:r>
              <w:rPr>
                <w:sz w:val="20"/>
                <w:szCs w:val="20"/>
              </w:rPr>
              <w:t>Equality Analysis</w:t>
            </w:r>
          </w:p>
        </w:tc>
        <w:tc>
          <w:tcPr>
            <w:tcW w:w="5958" w:type="dxa"/>
            <w:gridSpan w:val="3"/>
          </w:tcPr>
          <w:p w:rsidR="008039DA" w:rsidRDefault="00946AC4" w:rsidP="00946AC4">
            <w:pPr>
              <w:pStyle w:val="ListParagraph"/>
              <w:ind w:left="33"/>
              <w:jc w:val="both"/>
              <w:rPr>
                <w:sz w:val="20"/>
                <w:szCs w:val="20"/>
              </w:rPr>
            </w:pPr>
            <w:hyperlink r:id="rId6" w:history="1">
              <w:r>
                <w:rPr>
                  <w:rStyle w:val="Hyperlink"/>
                  <w:sz w:val="20"/>
                  <w:szCs w:val="20"/>
                </w:rPr>
                <w:t>Click here to view document</w:t>
              </w:r>
            </w:hyperlink>
          </w:p>
          <w:p w:rsidR="00946AC4" w:rsidRPr="008039DA" w:rsidRDefault="00946AC4" w:rsidP="00946AC4">
            <w:pPr>
              <w:pStyle w:val="ListParagraph"/>
              <w:ind w:left="33"/>
              <w:jc w:val="both"/>
              <w:rPr>
                <w:sz w:val="20"/>
                <w:szCs w:val="20"/>
              </w:rPr>
            </w:pPr>
          </w:p>
        </w:tc>
      </w:tr>
    </w:tbl>
    <w:p w:rsidR="00B17A19" w:rsidRDefault="00B17A19" w:rsidP="00BA60AD">
      <w:pPr>
        <w:rPr>
          <w:b/>
          <w:color w:val="000000" w:themeColor="text1"/>
        </w:rPr>
      </w:pPr>
    </w:p>
    <w:p w:rsidR="00D007DA" w:rsidRDefault="00BA60AD" w:rsidP="00BA60AD">
      <w:pPr>
        <w:rPr>
          <w:b/>
          <w:color w:val="000000" w:themeColor="text1"/>
        </w:rPr>
      </w:pPr>
      <w:r w:rsidRPr="00572315">
        <w:rPr>
          <w:b/>
          <w:color w:val="000000" w:themeColor="text1"/>
        </w:rPr>
        <w:t>What does this service deliver?</w:t>
      </w:r>
    </w:p>
    <w:p w:rsidR="00BA60AD" w:rsidRDefault="00BA60AD" w:rsidP="00E604CA">
      <w:pPr>
        <w:jc w:val="both"/>
      </w:pPr>
      <w:r w:rsidRPr="00A17C1E">
        <w:rPr>
          <w:sz w:val="20"/>
          <w:szCs w:val="20"/>
        </w:rPr>
        <w:t>The overarching purpose of this service is to reduce the amount of household waste sent to landfill by increasing the amount of waste that is recycled, composted or otherwise recovered in line with the council's waste management strategy.</w:t>
      </w:r>
      <w:r w:rsidR="001B092E">
        <w:rPr>
          <w:sz w:val="20"/>
          <w:szCs w:val="20"/>
        </w:rPr>
        <w:t xml:space="preserve"> </w:t>
      </w:r>
      <w:r w:rsidRPr="00A17C1E">
        <w:rPr>
          <w:sz w:val="20"/>
          <w:szCs w:val="20"/>
        </w:rPr>
        <w:t>This is achieved through:</w:t>
      </w:r>
      <w:r w:rsidR="004143DF" w:rsidRPr="00A17C1E">
        <w:rPr>
          <w:sz w:val="20"/>
          <w:szCs w:val="20"/>
        </w:rPr>
        <w:t xml:space="preserve"> </w:t>
      </w:r>
      <w:r w:rsidRPr="00A17C1E">
        <w:rPr>
          <w:sz w:val="20"/>
          <w:szCs w:val="20"/>
        </w:rPr>
        <w:t>Provision of Waste Recovery Parks at Thornton and Farington.  The Waste Recovery Parks are responsible for the reception, storage, treatment and transportation of 240,000 tonnes of residual waste, 66,000 tonnes of green waste and 78,000 tonnes of recyclable materials in accordance with performance targets and service</w:t>
      </w:r>
      <w:r w:rsidR="00D007DA" w:rsidRPr="00A17C1E">
        <w:rPr>
          <w:sz w:val="20"/>
          <w:szCs w:val="20"/>
        </w:rPr>
        <w:t xml:space="preserve"> </w:t>
      </w:r>
      <w:r w:rsidRPr="00A17C1E">
        <w:rPr>
          <w:sz w:val="20"/>
          <w:szCs w:val="20"/>
        </w:rPr>
        <w:t>requirements.</w:t>
      </w:r>
      <w:r w:rsidRPr="00572315">
        <w:rPr>
          <w:color w:val="000000" w:themeColor="text1"/>
        </w:rPr>
        <w:t xml:space="preserve"> </w:t>
      </w:r>
      <w:r w:rsidRPr="00A17C1E">
        <w:rPr>
          <w:sz w:val="20"/>
          <w:szCs w:val="20"/>
        </w:rPr>
        <w:t>The service also delivers the safe transfer of all products and residues arising from the processing, treatment or handling of waste including the sourcing of all end markets.</w:t>
      </w:r>
    </w:p>
    <w:sectPr w:rsidR="00BA60AD" w:rsidSect="00CA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70E"/>
    <w:multiLevelType w:val="hybridMultilevel"/>
    <w:tmpl w:val="EA9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B950FE"/>
    <w:multiLevelType w:val="hybridMultilevel"/>
    <w:tmpl w:val="C570D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AF162D"/>
    <w:multiLevelType w:val="hybridMultilevel"/>
    <w:tmpl w:val="D9D2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D3DD2"/>
    <w:multiLevelType w:val="hybridMultilevel"/>
    <w:tmpl w:val="C8C0E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84670"/>
    <w:multiLevelType w:val="hybridMultilevel"/>
    <w:tmpl w:val="47B44344"/>
    <w:lvl w:ilvl="0" w:tplc="D608B0D2">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D75E22"/>
    <w:multiLevelType w:val="hybridMultilevel"/>
    <w:tmpl w:val="11D0D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FF7799"/>
    <w:multiLevelType w:val="hybridMultilevel"/>
    <w:tmpl w:val="13C0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06AA1"/>
    <w:multiLevelType w:val="hybridMultilevel"/>
    <w:tmpl w:val="549C6C3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F452525"/>
    <w:multiLevelType w:val="hybridMultilevel"/>
    <w:tmpl w:val="C1B027C8"/>
    <w:lvl w:ilvl="0" w:tplc="22F6B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F56DBB"/>
    <w:multiLevelType w:val="hybridMultilevel"/>
    <w:tmpl w:val="CFA2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E250A"/>
    <w:multiLevelType w:val="hybridMultilevel"/>
    <w:tmpl w:val="33AA58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FB0FA7"/>
    <w:multiLevelType w:val="hybridMultilevel"/>
    <w:tmpl w:val="1F1E23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F22F3"/>
    <w:multiLevelType w:val="hybridMultilevel"/>
    <w:tmpl w:val="14380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0"/>
  </w:num>
  <w:num w:numId="5">
    <w:abstractNumId w:val="6"/>
  </w:num>
  <w:num w:numId="6">
    <w:abstractNumId w:val="13"/>
  </w:num>
  <w:num w:numId="7">
    <w:abstractNumId w:val="10"/>
  </w:num>
  <w:num w:numId="8">
    <w:abstractNumId w:val="2"/>
  </w:num>
  <w:num w:numId="9">
    <w:abstractNumId w:val="7"/>
  </w:num>
  <w:num w:numId="10">
    <w:abstractNumId w:val="1"/>
  </w:num>
  <w:num w:numId="11">
    <w:abstractNumId w:val="3"/>
  </w:num>
  <w:num w:numId="12">
    <w:abstractNumId w:val="9"/>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16D5F"/>
    <w:rsid w:val="0004540A"/>
    <w:rsid w:val="00084304"/>
    <w:rsid w:val="00091958"/>
    <w:rsid w:val="000A6DFF"/>
    <w:rsid w:val="000B466C"/>
    <w:rsid w:val="000D48EA"/>
    <w:rsid w:val="000E21C6"/>
    <w:rsid w:val="00144CA6"/>
    <w:rsid w:val="001774BD"/>
    <w:rsid w:val="00194A10"/>
    <w:rsid w:val="001B092E"/>
    <w:rsid w:val="001B6643"/>
    <w:rsid w:val="001C156F"/>
    <w:rsid w:val="001D573D"/>
    <w:rsid w:val="001E172B"/>
    <w:rsid w:val="001F36E7"/>
    <w:rsid w:val="002135B5"/>
    <w:rsid w:val="00241D35"/>
    <w:rsid w:val="00271B7D"/>
    <w:rsid w:val="00280EFB"/>
    <w:rsid w:val="002A3037"/>
    <w:rsid w:val="002A3E9F"/>
    <w:rsid w:val="002B630A"/>
    <w:rsid w:val="0035061D"/>
    <w:rsid w:val="0035595F"/>
    <w:rsid w:val="003869AC"/>
    <w:rsid w:val="003D6DD3"/>
    <w:rsid w:val="00411DA3"/>
    <w:rsid w:val="004143DF"/>
    <w:rsid w:val="0043419C"/>
    <w:rsid w:val="00443967"/>
    <w:rsid w:val="00452C66"/>
    <w:rsid w:val="00464F42"/>
    <w:rsid w:val="00474194"/>
    <w:rsid w:val="00487F0F"/>
    <w:rsid w:val="004D588F"/>
    <w:rsid w:val="004D7590"/>
    <w:rsid w:val="004E121B"/>
    <w:rsid w:val="00543D95"/>
    <w:rsid w:val="00572315"/>
    <w:rsid w:val="005957E5"/>
    <w:rsid w:val="005B386D"/>
    <w:rsid w:val="005C3A55"/>
    <w:rsid w:val="005E5E93"/>
    <w:rsid w:val="00604C13"/>
    <w:rsid w:val="0064633C"/>
    <w:rsid w:val="0065624A"/>
    <w:rsid w:val="0066742C"/>
    <w:rsid w:val="00692710"/>
    <w:rsid w:val="00692BB1"/>
    <w:rsid w:val="0069592C"/>
    <w:rsid w:val="006B2CE0"/>
    <w:rsid w:val="006C0ECE"/>
    <w:rsid w:val="006C3E31"/>
    <w:rsid w:val="006D18C3"/>
    <w:rsid w:val="006E59CA"/>
    <w:rsid w:val="006F35E8"/>
    <w:rsid w:val="006F58CE"/>
    <w:rsid w:val="00711875"/>
    <w:rsid w:val="00716A4F"/>
    <w:rsid w:val="007314AD"/>
    <w:rsid w:val="007467AF"/>
    <w:rsid w:val="007D00B0"/>
    <w:rsid w:val="007D2F78"/>
    <w:rsid w:val="007D6CED"/>
    <w:rsid w:val="008039DA"/>
    <w:rsid w:val="00822576"/>
    <w:rsid w:val="008252EB"/>
    <w:rsid w:val="00843CAC"/>
    <w:rsid w:val="00846A4F"/>
    <w:rsid w:val="00853931"/>
    <w:rsid w:val="008E30D2"/>
    <w:rsid w:val="009304C0"/>
    <w:rsid w:val="009356B6"/>
    <w:rsid w:val="00946AC4"/>
    <w:rsid w:val="00956FD9"/>
    <w:rsid w:val="00981BBC"/>
    <w:rsid w:val="009A63F6"/>
    <w:rsid w:val="009C4647"/>
    <w:rsid w:val="009E0E1B"/>
    <w:rsid w:val="009E276F"/>
    <w:rsid w:val="009E2D95"/>
    <w:rsid w:val="009E4A83"/>
    <w:rsid w:val="00A17C1E"/>
    <w:rsid w:val="00A27B7A"/>
    <w:rsid w:val="00A33171"/>
    <w:rsid w:val="00A4505D"/>
    <w:rsid w:val="00A61F59"/>
    <w:rsid w:val="00A91829"/>
    <w:rsid w:val="00AE14AD"/>
    <w:rsid w:val="00AE7339"/>
    <w:rsid w:val="00B17A19"/>
    <w:rsid w:val="00B20438"/>
    <w:rsid w:val="00B219F3"/>
    <w:rsid w:val="00B25405"/>
    <w:rsid w:val="00B26FCE"/>
    <w:rsid w:val="00B325D0"/>
    <w:rsid w:val="00B34152"/>
    <w:rsid w:val="00B819B1"/>
    <w:rsid w:val="00BA60AD"/>
    <w:rsid w:val="00BC1ECF"/>
    <w:rsid w:val="00BE1BC0"/>
    <w:rsid w:val="00BE44C4"/>
    <w:rsid w:val="00C116C8"/>
    <w:rsid w:val="00C3384B"/>
    <w:rsid w:val="00C50F5C"/>
    <w:rsid w:val="00C76C67"/>
    <w:rsid w:val="00C844FA"/>
    <w:rsid w:val="00CA08E7"/>
    <w:rsid w:val="00CA10C4"/>
    <w:rsid w:val="00CA2B52"/>
    <w:rsid w:val="00CA2D08"/>
    <w:rsid w:val="00CB7956"/>
    <w:rsid w:val="00CC58B3"/>
    <w:rsid w:val="00CE0468"/>
    <w:rsid w:val="00D007DA"/>
    <w:rsid w:val="00D64925"/>
    <w:rsid w:val="00D91624"/>
    <w:rsid w:val="00DD2E9F"/>
    <w:rsid w:val="00DE62D5"/>
    <w:rsid w:val="00E11356"/>
    <w:rsid w:val="00E17B81"/>
    <w:rsid w:val="00E32D62"/>
    <w:rsid w:val="00E56AA9"/>
    <w:rsid w:val="00E604CA"/>
    <w:rsid w:val="00E61B47"/>
    <w:rsid w:val="00EA1D7C"/>
    <w:rsid w:val="00F0051D"/>
    <w:rsid w:val="00F15B60"/>
    <w:rsid w:val="00F26FCF"/>
    <w:rsid w:val="00F4194F"/>
    <w:rsid w:val="00F5202B"/>
    <w:rsid w:val="00F679F6"/>
    <w:rsid w:val="00F67BFD"/>
    <w:rsid w:val="00F9314E"/>
    <w:rsid w:val="00FA6D71"/>
    <w:rsid w:val="00FA744B"/>
    <w:rsid w:val="00FB4A59"/>
    <w:rsid w:val="00FB61AD"/>
    <w:rsid w:val="00F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styleId="Hyperlink">
    <w:name w:val="Hyperlink"/>
    <w:basedOn w:val="DefaultParagraphFont"/>
    <w:uiPriority w:val="99"/>
    <w:semiHidden/>
    <w:unhideWhenUsed/>
    <w:rsid w:val="00946A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11505">
      <w:bodyDiv w:val="1"/>
      <w:marLeft w:val="0"/>
      <w:marRight w:val="0"/>
      <w:marTop w:val="0"/>
      <w:marBottom w:val="0"/>
      <w:divBdr>
        <w:top w:val="none" w:sz="0" w:space="0" w:color="auto"/>
        <w:left w:val="none" w:sz="0" w:space="0" w:color="auto"/>
        <w:bottom w:val="none" w:sz="0" w:space="0" w:color="auto"/>
        <w:right w:val="none" w:sz="0" w:space="0" w:color="auto"/>
      </w:divBdr>
    </w:div>
    <w:div w:id="21108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3059-1AA6-4F71-9522-B2A1A637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Mather, Chris</cp:lastModifiedBy>
  <cp:revision>34</cp:revision>
  <cp:lastPrinted>2015-10-20T13:54:00Z</cp:lastPrinted>
  <dcterms:created xsi:type="dcterms:W3CDTF">2015-11-02T11:08:00Z</dcterms:created>
  <dcterms:modified xsi:type="dcterms:W3CDTF">2015-11-13T18:20:00Z</dcterms:modified>
</cp:coreProperties>
</file>